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Times New Roman" w:eastAsia="仿宋" w:cs="仿宋"/>
          <w:kern w:val="0"/>
          <w:sz w:val="32"/>
          <w:szCs w:val="32"/>
          <w:lang w:val="en-US"/>
        </w:rPr>
      </w:pPr>
      <w:r>
        <w:rPr>
          <w:rFonts w:hint="eastAsia" w:ascii="黑体" w:hAnsi="Times New Roman" w:eastAsia="黑体" w:cs="仿宋"/>
          <w:kern w:val="0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318" w:afterLines="50" w:afterAutospacing="0" w:line="560" w:lineRule="exact"/>
        <w:ind w:left="0" w:right="0"/>
        <w:jc w:val="center"/>
        <w:rPr>
          <w:rFonts w:eastAsia="仿宋_GB2312"/>
          <w:kern w:val="0"/>
          <w:sz w:val="24"/>
          <w:szCs w:val="24"/>
          <w:lang w:val="en-US"/>
        </w:rPr>
      </w:pPr>
      <w:bookmarkStart w:id="0" w:name="OLE_LINK1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部门整体支出绩效评价基础数据表</w:t>
      </w:r>
    </w:p>
    <w:bookmarkEnd w:id="0"/>
    <w:tbl>
      <w:tblPr>
        <w:tblStyle w:val="3"/>
        <w:tblW w:w="92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4"/>
        <w:gridCol w:w="804"/>
        <w:gridCol w:w="904"/>
        <w:gridCol w:w="939"/>
        <w:gridCol w:w="1289"/>
        <w:gridCol w:w="1084"/>
        <w:gridCol w:w="1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财政供养人员情况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编制数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年实际在职人数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9　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7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经费控制情况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2019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年决算数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年预算数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1"/>
                <w:szCs w:val="21"/>
                <w:lang w:val="en-US" w:eastAsia="zh-CN" w:bidi="ar"/>
              </w:rPr>
              <w:t>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三公经费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1.33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1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、公务用车购置和维护经费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其中：公车购置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公车运行维护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2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、出国经费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3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、公务接待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1.33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2.8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项目支出：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57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1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、业务工作专项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2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、运行维护专项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、上级专项资金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57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61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、其他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公用经费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31.45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6.33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18.66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其中：办公经费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3.5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水费、电费、差旅费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　1.59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会议费、培训费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color w:val="FF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0" w:firstLineChars="500"/>
              <w:jc w:val="left"/>
              <w:rPr>
                <w:rFonts w:hint="default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29.86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2.83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Cs w:val="21"/>
                <w:lang w:val="en-US" w:eastAsia="zh-CN"/>
              </w:rPr>
              <w:t>17.64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政府采购金额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部门整体支出预算调整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楼堂管所控制情况（</w:t>
            </w:r>
            <w:r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年完工项目）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批复规模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实际规模（</w:t>
            </w:r>
            <w:r>
              <w:rPr>
                <w:rFonts w:hint="eastAsia" w:ascii="Times New Roman" w:hAnsi="Times New Roman" w:eastAsia="宋体" w:cs="宋体"/>
                <w:bCs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规模控制率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预算投资（万元）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实际投资（万元）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仿宋_GB2312"/>
                <w:bCs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  <w:t>投资概算控制率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3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—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厉行节约保障措施</w:t>
            </w:r>
          </w:p>
        </w:tc>
        <w:tc>
          <w:tcPr>
            <w:tcW w:w="6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推行无纸化办公、精简会议、严格控制公务接待和差旅费</w:t>
            </w:r>
            <w:bookmarkStart w:id="1" w:name="_GoBack"/>
            <w:bookmarkEnd w:id="1"/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-1050"/>
        <w:jc w:val="left"/>
        <w:rPr>
          <w:rFonts w:eastAsia="仿宋_GB2312" w:cs="仿宋_GB2312"/>
          <w:kern w:val="0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  <w:lang w:val="en-US" w:eastAsia="zh-CN" w:bidi="ar"/>
        </w:rPr>
        <w:t>说明：“控制率”等于实际在职人数</w:t>
      </w:r>
      <w:r>
        <w:rPr>
          <w:rFonts w:hint="default" w:ascii="Times New Roman" w:hAnsi="Times New Roman" w:eastAsia="仿宋_GB2312" w:cs="仿宋_GB2312"/>
          <w:kern w:val="0"/>
          <w:sz w:val="24"/>
          <w:szCs w:val="24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lang w:val="en-US" w:eastAsia="zh-CN" w:bidi="ar"/>
        </w:rPr>
        <w:t>编制人数</w:t>
      </w:r>
      <w:r>
        <w:rPr>
          <w:rFonts w:hint="default" w:ascii="Times New Roman" w:hAnsi="Times New Roman" w:eastAsia="仿宋_GB2312" w:cs="仿宋_GB2312"/>
          <w:kern w:val="0"/>
          <w:sz w:val="24"/>
          <w:szCs w:val="24"/>
          <w:lang w:val="en-US" w:eastAsia="zh-CN" w:bidi="ar"/>
        </w:rPr>
        <w:t>*100%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lang w:val="en-US" w:eastAsia="zh-CN" w:bidi="ar"/>
        </w:rPr>
        <w:t>；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lang w:val="en-US" w:eastAsia="zh-CN" w:bidi="ar"/>
        </w:rPr>
        <w:t>项目支出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lang w:val="en-US" w:eastAsia="zh-CN" w:bidi="ar"/>
        </w:rPr>
        <w:t>需要填报除基本支出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-1050"/>
        <w:jc w:val="left"/>
        <w:rPr>
          <w:rFonts w:eastAsia="仿宋_GB2312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  <w:lang w:val="en-US" w:eastAsia="zh-CN" w:bidi="ar"/>
        </w:rPr>
        <w:t>以外的所有项目情况。</w:t>
      </w:r>
    </w:p>
    <w:p/>
    <w:sectPr>
      <w:pgSz w:w="11905" w:h="16837"/>
      <w:pgMar w:top="1418" w:right="1588" w:bottom="1418" w:left="1588" w:header="720" w:footer="1702" w:gutter="0"/>
      <w:pgNumType w:start="1"/>
      <w:cols w:space="425" w:num="1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ZTBlYjM2N2ZjMzBmMTU3OTllYzM3MGM5ODE0MzUifQ=="/>
  </w:docVars>
  <w:rsids>
    <w:rsidRoot w:val="00000000"/>
    <w:rsid w:val="36DC3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rFonts w:hint="default" w:ascii="Times New Roman" w:hAnsi="Times New Roman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429</Characters>
  <Lines>0</Lines>
  <Paragraphs>0</Paragraphs>
  <TotalTime>6</TotalTime>
  <ScaleCrop>false</ScaleCrop>
  <LinksUpToDate>false</LinksUpToDate>
  <CharactersWithSpaces>532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2022-08-19T11:21:00Z</dcterms:created>
  <dc:creator>橙啵啵啵</dc:creator>
  <cp:lastModifiedBy>橙啵啵啵</cp:lastModifiedBy>
  <dcterms:modified xsi:type="dcterms:W3CDTF">2022-08-19T05:38:31Z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4A4349D262464D9B915022685663017F</vt:lpwstr>
  </property>
</Properties>
</file>