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88F6" w14:textId="77777777" w:rsidR="007A74EB" w:rsidRDefault="00000000">
      <w:pPr>
        <w:shd w:val="solid" w:color="FFFFFF" w:fill="auto"/>
        <w:autoSpaceDN w:val="0"/>
        <w:spacing w:line="560" w:lineRule="atLeast"/>
        <w:ind w:firstLine="640"/>
        <w:rPr>
          <w:rFonts w:ascii="黑体" w:eastAsia="黑体" w:cs="仿宋_GB2312"/>
          <w:color w:val="000000"/>
          <w:sz w:val="32"/>
          <w:szCs w:val="32"/>
        </w:rPr>
      </w:pPr>
      <w:r>
        <w:rPr>
          <w:rFonts w:ascii="黑体" w:eastAsia="黑体" w:cs="仿宋_GB2312" w:hint="eastAsia"/>
          <w:color w:val="000000"/>
          <w:sz w:val="32"/>
          <w:szCs w:val="32"/>
        </w:rPr>
        <w:t>附件1：</w:t>
      </w:r>
    </w:p>
    <w:p w14:paraId="760046D7" w14:textId="77777777" w:rsidR="007A74EB" w:rsidRDefault="00000000">
      <w:pPr>
        <w:autoSpaceDN w:val="0"/>
        <w:jc w:val="center"/>
        <w:rPr>
          <w:rFonts w:ascii="仿宋" w:eastAsia="仿宋" w:hAnsi="仿宋"/>
          <w:b/>
          <w:color w:val="010101"/>
          <w:sz w:val="44"/>
          <w:szCs w:val="44"/>
        </w:rPr>
      </w:pPr>
      <w:r>
        <w:rPr>
          <w:rFonts w:ascii="仿宋" w:eastAsia="仿宋" w:hAnsi="仿宋" w:cs="仿宋" w:hint="eastAsia"/>
          <w:b/>
          <w:sz w:val="44"/>
          <w:szCs w:val="44"/>
        </w:rPr>
        <w:t>中共绥宁县委党校</w:t>
      </w:r>
      <w:r>
        <w:rPr>
          <w:rFonts w:ascii="仿宋" w:eastAsia="仿宋" w:hAnsi="仿宋" w:hint="eastAsia"/>
          <w:b/>
          <w:color w:val="010101"/>
          <w:sz w:val="44"/>
          <w:szCs w:val="44"/>
        </w:rPr>
        <w:t>2020</w:t>
      </w:r>
      <w:r>
        <w:rPr>
          <w:rFonts w:ascii="仿宋" w:eastAsia="仿宋" w:hAnsi="仿宋"/>
          <w:b/>
          <w:color w:val="010101"/>
          <w:sz w:val="44"/>
          <w:szCs w:val="44"/>
        </w:rPr>
        <w:t>年度</w:t>
      </w:r>
    </w:p>
    <w:p w14:paraId="03AAA184" w14:textId="77777777" w:rsidR="007A74EB" w:rsidRDefault="00000000">
      <w:pPr>
        <w:pStyle w:val="aa"/>
        <w:widowControl/>
        <w:spacing w:beforeAutospacing="0" w:afterAutospacing="0" w:line="560" w:lineRule="exact"/>
        <w:ind w:firstLineChars="400" w:firstLine="1767"/>
        <w:jc w:val="both"/>
        <w:rPr>
          <w:rFonts w:ascii="仿宋" w:eastAsia="仿宋" w:hAnsi="仿宋"/>
          <w:b/>
          <w:color w:val="010101"/>
          <w:sz w:val="44"/>
          <w:szCs w:val="44"/>
        </w:rPr>
      </w:pPr>
      <w:r>
        <w:rPr>
          <w:rFonts w:ascii="仿宋" w:eastAsia="仿宋" w:hAnsi="仿宋"/>
          <w:b/>
          <w:color w:val="010101"/>
          <w:sz w:val="44"/>
          <w:szCs w:val="44"/>
        </w:rPr>
        <w:t>部门整体支出绩效评价报告</w:t>
      </w:r>
    </w:p>
    <w:p w14:paraId="4402FEB9" w14:textId="77777777" w:rsidR="007A74EB" w:rsidRDefault="007A74EB">
      <w:pPr>
        <w:pStyle w:val="aa"/>
        <w:widowControl/>
        <w:spacing w:beforeAutospacing="0" w:afterAutospacing="0" w:line="560" w:lineRule="exact"/>
        <w:ind w:firstLineChars="600" w:firstLine="2650"/>
        <w:jc w:val="both"/>
        <w:rPr>
          <w:rFonts w:ascii="仿宋" w:eastAsia="仿宋" w:hAnsi="仿宋"/>
          <w:b/>
          <w:color w:val="010101"/>
          <w:sz w:val="44"/>
          <w:szCs w:val="44"/>
        </w:rPr>
      </w:pPr>
    </w:p>
    <w:p w14:paraId="41F2DAC5"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一、部门概况</w:t>
      </w:r>
    </w:p>
    <w:p w14:paraId="1CBF900F"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 xml:space="preserve">　（一）部门基本情况</w:t>
      </w:r>
    </w:p>
    <w:p w14:paraId="7C0656C7"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 xml:space="preserve">　 1、职能职责</w:t>
      </w:r>
    </w:p>
    <w:p w14:paraId="1A3C0D80"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中共绥宁县委党校(以下简称县委党校)是中共绥宁县委直属公益一类事业单位，加挂绥宁县行政学校牌子，为正科级。单位办公地址在绥宁县长铺</w:t>
      </w:r>
      <w:proofErr w:type="gramStart"/>
      <w:r>
        <w:rPr>
          <w:rFonts w:ascii="仿宋" w:eastAsia="仿宋" w:hAnsi="仿宋" w:cs="仿宋" w:hint="eastAsia"/>
          <w:color w:val="232323"/>
          <w:sz w:val="32"/>
          <w:szCs w:val="32"/>
        </w:rPr>
        <w:t>镇民族</w:t>
      </w:r>
      <w:proofErr w:type="gramEnd"/>
      <w:r>
        <w:rPr>
          <w:rFonts w:ascii="仿宋" w:eastAsia="仿宋" w:hAnsi="仿宋" w:cs="仿宋" w:hint="eastAsia"/>
          <w:color w:val="232323"/>
          <w:sz w:val="32"/>
          <w:szCs w:val="32"/>
        </w:rPr>
        <w:t>路48号，组织机构代码是12430527446054951P。 贯彻执行党中央关于党校工作的方针政策和决策部署，全面落实省委、市委和县委关于党校工作的部署要求，在履行职责过程中坚持和加强党对党校工作的集中统一领导。主要职责是:</w:t>
      </w:r>
    </w:p>
    <w:p w14:paraId="0CDEAF0F"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（1）围绕县委、县政府中心工作，以党的理论教育和党性教育为主业，以马克思主义理论特别是中国特色社会主义理论体系为主课，培养忠诚于中国特色社会主义事业、德才兼备的党员领导干部和理论干部。</w:t>
      </w:r>
    </w:p>
    <w:p w14:paraId="55EE97D5"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（2）宣传和研究党的创新理论和路线、方针、政策;针对改革开放和社会主义现代化进程中的重大理论和现实问题，开展马克思主义中国化最新成果的理论宣传。</w:t>
      </w:r>
    </w:p>
    <w:p w14:paraId="3D43A7DC"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（3）参与制定并组织实施全县干部教育培训规划和计划，主要培训、轮训全县乡科级及以下领导干部、后备干部、理论</w:t>
      </w:r>
      <w:r>
        <w:rPr>
          <w:rFonts w:ascii="仿宋" w:eastAsia="仿宋" w:hAnsi="仿宋" w:cs="仿宋" w:hint="eastAsia"/>
          <w:color w:val="232323"/>
          <w:sz w:val="32"/>
          <w:szCs w:val="32"/>
        </w:rPr>
        <w:lastRenderedPageBreak/>
        <w:t>干部;培训全县意识形态领域的理论骨干;培训企事业单位领导人员、村(社区)党组织书记、基层党员和党员发展对象;承担初任公务员岗前培训、公务员任职培训、专门业务培训与更新知识培训。</w:t>
      </w:r>
    </w:p>
    <w:p w14:paraId="678B88D2"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（4）围绕国内外尤其是县内外出现的新情况、新问题，针对重大理论问题和实际问题，开展科学研究和理论探讨，为提高教学质量服务，为县委、县政府的决策服务。</w:t>
      </w:r>
    </w:p>
    <w:p w14:paraId="6F0CE1B0"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（5）接受上级党校的业务指导。</w:t>
      </w:r>
    </w:p>
    <w:p w14:paraId="5C3B1160"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232323"/>
          <w:sz w:val="32"/>
          <w:szCs w:val="32"/>
        </w:rPr>
        <w:t>（6）完成县委、县政府交办的其他工作。</w:t>
      </w:r>
    </w:p>
    <w:p w14:paraId="61167434" w14:textId="02276FED"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2、组织架构，人员编制：</w:t>
      </w:r>
      <w:r>
        <w:rPr>
          <w:rFonts w:ascii="仿宋" w:eastAsia="仿宋" w:hAnsi="仿宋" w:cs="仿宋" w:hint="eastAsia"/>
          <w:color w:val="232323"/>
          <w:sz w:val="32"/>
          <w:szCs w:val="32"/>
        </w:rPr>
        <w:t>办公室、教务部、科研部、电教信息部、后勤部五个内设机构组成。全额拨款事业编制22名，现有在职在编教职工14人。</w:t>
      </w:r>
    </w:p>
    <w:p w14:paraId="3574D10C"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3、资金支出管理：</w:t>
      </w:r>
      <w:r>
        <w:rPr>
          <w:rFonts w:ascii="仿宋" w:eastAsia="仿宋" w:hAnsi="仿宋" w:cs="仿宋" w:hint="eastAsia"/>
          <w:color w:val="232323"/>
          <w:sz w:val="32"/>
          <w:szCs w:val="32"/>
        </w:rPr>
        <w:t>我单位根据国家有关财经法律法规和实际，专门成立了预算绩效管理工作领导小组，制定了一系列的财务管理制度，全部资金由财务室统一管理。资金使用严格按照国家财经法规和单位财务管理制度规定收支，资金拨付有完整的审批程序和手续。资金使用无截留、挤占、挪用、虚列支出等情况。</w:t>
      </w:r>
    </w:p>
    <w:p w14:paraId="5D849140" w14:textId="43CB0ECA"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 xml:space="preserve">　 4、年度重点工作为：</w:t>
      </w:r>
      <w:r>
        <w:rPr>
          <w:rFonts w:ascii="仿宋" w:eastAsia="仿宋" w:hAnsi="仿宋" w:cs="仿宋" w:hint="eastAsia"/>
          <w:color w:val="232323"/>
          <w:sz w:val="32"/>
          <w:szCs w:val="32"/>
        </w:rPr>
        <w:t>在县委县政府直接领导下培养党员领导干部和理论干部。</w:t>
      </w:r>
      <w:r>
        <w:rPr>
          <w:rFonts w:ascii="仿宋" w:eastAsia="仿宋" w:hAnsi="仿宋" w:cs="仿宋" w:hint="eastAsia"/>
          <w:color w:val="000000"/>
          <w:sz w:val="32"/>
          <w:szCs w:val="32"/>
          <w:shd w:val="clear" w:color="auto" w:fill="FFFFFF"/>
        </w:rPr>
        <w:t>围绕我县经济建设发展大局，认真开展培训工作。</w:t>
      </w:r>
    </w:p>
    <w:p w14:paraId="41C52090"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（二）部门整体支出情况</w:t>
      </w:r>
    </w:p>
    <w:p w14:paraId="427F05C2"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 1、年度预算资金收支结余</w:t>
      </w:r>
    </w:p>
    <w:p w14:paraId="1E0CCE54"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333333"/>
          <w:sz w:val="32"/>
          <w:szCs w:val="32"/>
          <w:shd w:val="clear" w:color="auto" w:fill="FFFFFF"/>
        </w:rPr>
        <w:lastRenderedPageBreak/>
        <w:t>2020年预算总收入343.06万元，其中财政预算拨款338.59万元，</w:t>
      </w:r>
      <w:r>
        <w:rPr>
          <w:rFonts w:ascii="仿宋" w:eastAsia="仿宋" w:hAnsi="仿宋" w:cs="仿宋" w:hint="eastAsia"/>
          <w:color w:val="232323"/>
          <w:sz w:val="32"/>
          <w:szCs w:val="32"/>
        </w:rPr>
        <w:t>上年结转和结余4.47万元。</w:t>
      </w:r>
      <w:r>
        <w:rPr>
          <w:rFonts w:ascii="仿宋" w:eastAsia="仿宋" w:hAnsi="仿宋" w:cs="仿宋" w:hint="eastAsia"/>
          <w:color w:val="333333"/>
          <w:sz w:val="32"/>
          <w:szCs w:val="32"/>
          <w:shd w:val="clear" w:color="auto" w:fill="FFFFFF"/>
        </w:rPr>
        <w:t>全年预算总支出334.82万元，其中基本支出313.31万元、项目支出21.51万元。</w:t>
      </w:r>
      <w:r>
        <w:rPr>
          <w:rFonts w:ascii="仿宋" w:eastAsia="仿宋" w:hAnsi="仿宋" w:cs="仿宋" w:hint="eastAsia"/>
          <w:color w:val="232323"/>
          <w:sz w:val="32"/>
          <w:szCs w:val="32"/>
        </w:rPr>
        <w:t>年末结转和结余8.24万元。</w:t>
      </w:r>
    </w:p>
    <w:p w14:paraId="6C5420BD"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2、年度财政拨款决算支出情况</w:t>
      </w:r>
    </w:p>
    <w:p w14:paraId="7278E3A6"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highlight w:val="magenta"/>
        </w:rPr>
      </w:pPr>
      <w:r>
        <w:rPr>
          <w:rFonts w:ascii="仿宋" w:eastAsia="仿宋" w:hAnsi="仿宋" w:cs="仿宋" w:hint="eastAsia"/>
          <w:color w:val="232323"/>
          <w:sz w:val="32"/>
          <w:szCs w:val="32"/>
        </w:rPr>
        <w:t>2020年度财政拨款预算收入338.59万元。较上年同期305.72万元，增加29.1万</w:t>
      </w:r>
      <w:r>
        <w:rPr>
          <w:rFonts w:ascii="仿宋" w:eastAsia="仿宋" w:hAnsi="仿宋" w:cs="仿宋" w:hint="eastAsia"/>
          <w:color w:val="000000"/>
          <w:sz w:val="32"/>
          <w:szCs w:val="32"/>
        </w:rPr>
        <w:t>元，增长9.5%</w:t>
      </w:r>
      <w:r>
        <w:rPr>
          <w:rFonts w:ascii="仿宋" w:eastAsia="仿宋" w:hAnsi="仿宋" w:cs="仿宋" w:hint="eastAsia"/>
          <w:color w:val="232323"/>
          <w:sz w:val="32"/>
          <w:szCs w:val="32"/>
        </w:rPr>
        <w:t>；财政拨款支出334.82万元，其中</w:t>
      </w:r>
      <w:r>
        <w:rPr>
          <w:rFonts w:ascii="仿宋" w:eastAsia="仿宋" w:hAnsi="仿宋" w:cs="仿宋" w:hint="eastAsia"/>
          <w:color w:val="333333"/>
          <w:sz w:val="32"/>
          <w:szCs w:val="32"/>
          <w:shd w:val="clear" w:color="auto" w:fill="FFFFFF"/>
        </w:rPr>
        <w:t>基本支出313.31万元（工资福利支出231.63万元，商品和服务支出66.15万元，对个人和家庭补助15.37万元，资本性支出0.16万元），项目支出21.51万元</w:t>
      </w:r>
      <w:r>
        <w:rPr>
          <w:rFonts w:ascii="仿宋" w:eastAsia="仿宋" w:hAnsi="仿宋" w:cs="仿宋" w:hint="eastAsia"/>
          <w:color w:val="232323"/>
          <w:sz w:val="32"/>
          <w:szCs w:val="32"/>
        </w:rPr>
        <w:t>。较上年同期318.85万元，增加15.97万元，增长5%。</w:t>
      </w:r>
    </w:p>
    <w:p w14:paraId="22C25436"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00000"/>
          <w:sz w:val="32"/>
          <w:szCs w:val="32"/>
        </w:rPr>
        <w:t>二、部门整体支出管理及使用情况</w:t>
      </w:r>
    </w:p>
    <w:p w14:paraId="14256DAB"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财务规章制度执行及完善情况：制定了工程开支、专项开支、培训及会议开支、差旅开支、公务租用车开支、日常办公开支等财务管理制度，成立了财务会审小组，安排会审时间，集中报账；制定了报账流程，严格按报账流程进行票据收集和审核。</w:t>
      </w:r>
    </w:p>
    <w:p w14:paraId="7AECE89F"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（一）基本支出</w:t>
      </w:r>
    </w:p>
    <w:p w14:paraId="6DA5221B"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基本支出用于为保障机构正常运转、完成日常工作任务而发生的支出，包括人员经费和公用经费。</w:t>
      </w:r>
    </w:p>
    <w:p w14:paraId="731A59DF" w14:textId="600343E8"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年初预算批复的基本支出为207.35万元，年中追加109.73万元（占年初预算批复数52.9%），上年指标结转0万元，本年收回及核减指标0万元，全年财政拨款收入为317.08万元。全年财政拨款支出为313.31万元，本年财政拨款收支差</w:t>
      </w:r>
      <w:r>
        <w:rPr>
          <w:rFonts w:ascii="仿宋" w:eastAsia="仿宋" w:hAnsi="仿宋" w:cs="仿宋" w:hint="eastAsia"/>
          <w:color w:val="010101"/>
          <w:sz w:val="32"/>
          <w:szCs w:val="32"/>
        </w:rPr>
        <w:lastRenderedPageBreak/>
        <w:t>额3.77万元。2020年初财政拨款结转和结余4.47万元，年末财政拨款结转和结余8.24万元。</w:t>
      </w:r>
    </w:p>
    <w:p w14:paraId="54F6A7C9"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2020年决算基本支出313.31万元，其中：工资福利支出231.63万元、商品和服务支出66.15万元、对个人和家庭的补助15.37万元，</w:t>
      </w:r>
      <w:r>
        <w:rPr>
          <w:rFonts w:ascii="仿宋" w:eastAsia="仿宋" w:hAnsi="仿宋" w:cs="仿宋" w:hint="eastAsia"/>
          <w:color w:val="333333"/>
          <w:sz w:val="32"/>
          <w:szCs w:val="32"/>
          <w:shd w:val="clear" w:color="auto" w:fill="FFFFFF"/>
        </w:rPr>
        <w:t>资本性支出0.16万元</w:t>
      </w:r>
      <w:r>
        <w:rPr>
          <w:rFonts w:ascii="仿宋" w:eastAsia="仿宋" w:hAnsi="仿宋" w:cs="仿宋" w:hint="eastAsia"/>
          <w:color w:val="010101"/>
          <w:sz w:val="32"/>
          <w:szCs w:val="32"/>
        </w:rPr>
        <w:t>。决算数与年初预算指标对比，基本支出差异105.96万元，其中工资福利支出差异64.86万元，主要原因是</w:t>
      </w:r>
      <w:r>
        <w:rPr>
          <w:rFonts w:ascii="仿宋" w:eastAsia="仿宋" w:hAnsi="仿宋" w:cs="仿宋" w:hint="eastAsia"/>
          <w:color w:val="232323"/>
          <w:sz w:val="32"/>
          <w:szCs w:val="32"/>
        </w:rPr>
        <w:t>增加临时人员工资，补发2019年绩效奖金及住房公积金；</w:t>
      </w:r>
      <w:r>
        <w:rPr>
          <w:rFonts w:ascii="仿宋" w:eastAsia="仿宋" w:hAnsi="仿宋" w:cs="仿宋" w:hint="eastAsia"/>
          <w:color w:val="010101"/>
          <w:sz w:val="32"/>
          <w:szCs w:val="32"/>
        </w:rPr>
        <w:t>对个人和家庭的补助差异9.9万元，主要原因是预算调整</w:t>
      </w:r>
      <w:r>
        <w:rPr>
          <w:rFonts w:ascii="仿宋" w:eastAsia="仿宋" w:hAnsi="仿宋" w:cs="仿宋" w:hint="eastAsia"/>
          <w:color w:val="333333"/>
          <w:sz w:val="32"/>
          <w:szCs w:val="32"/>
          <w:shd w:val="clear" w:color="auto" w:fill="FFFFFF"/>
        </w:rPr>
        <w:t>增加</w:t>
      </w:r>
      <w:r>
        <w:rPr>
          <w:rFonts w:ascii="仿宋" w:eastAsia="仿宋" w:hAnsi="仿宋" w:cs="仿宋" w:hint="eastAsia"/>
          <w:color w:val="010101"/>
          <w:sz w:val="32"/>
          <w:szCs w:val="32"/>
        </w:rPr>
        <w:t>退休</w:t>
      </w:r>
      <w:r>
        <w:rPr>
          <w:rFonts w:ascii="仿宋" w:eastAsia="仿宋" w:hAnsi="仿宋" w:cs="仿宋" w:hint="eastAsia"/>
          <w:color w:val="333333"/>
          <w:sz w:val="32"/>
          <w:szCs w:val="32"/>
          <w:shd w:val="clear" w:color="auto" w:fill="FFFFFF"/>
        </w:rPr>
        <w:t>人员死亡</w:t>
      </w:r>
      <w:r>
        <w:rPr>
          <w:rFonts w:ascii="仿宋" w:eastAsia="仿宋" w:hAnsi="仿宋" w:cs="仿宋" w:hint="eastAsia"/>
          <w:color w:val="010101"/>
          <w:sz w:val="32"/>
          <w:szCs w:val="32"/>
        </w:rPr>
        <w:t>抚恤</w:t>
      </w:r>
      <w:r>
        <w:rPr>
          <w:rFonts w:ascii="仿宋" w:eastAsia="仿宋" w:hAnsi="仿宋" w:cs="仿宋" w:hint="eastAsia"/>
          <w:color w:val="333333"/>
          <w:sz w:val="32"/>
          <w:szCs w:val="32"/>
          <w:shd w:val="clear" w:color="auto" w:fill="FFFFFF"/>
        </w:rPr>
        <w:t>经费</w:t>
      </w:r>
      <w:r>
        <w:rPr>
          <w:rFonts w:ascii="仿宋" w:eastAsia="仿宋" w:hAnsi="仿宋" w:cs="仿宋" w:hint="eastAsia"/>
          <w:color w:val="010101"/>
          <w:sz w:val="32"/>
          <w:szCs w:val="32"/>
        </w:rPr>
        <w:t>；商品和服务支出差异31.04万元, 主要原因是工资福利在财政年初预算安排的党校工作经费中列支。</w:t>
      </w:r>
    </w:p>
    <w:p w14:paraId="158FB9E4"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（二）项目支出</w:t>
      </w:r>
    </w:p>
    <w:p w14:paraId="45DB1A92"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项目支出是在基本支出之外为完成其特定的行政工作任务而发生的支出，主要用于干部教育培训、党校综合建设项目前期费用。</w:t>
      </w:r>
    </w:p>
    <w:p w14:paraId="01973C78" w14:textId="7851040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2020年年初预算批复的项目支出为77万元，年中追加0万元（占年初预算批复的0%），上年指标结转0万元，本年收回及核减指标0万元，全年财政拨款收入为21.51万元。全年财政拨款支出为21.51万元，本年财政拨款收支差额0万元。2020年初财政拨款结转和结余0万元，年末财政拨款结转和结余0万元。</w:t>
      </w:r>
    </w:p>
    <w:p w14:paraId="21F76A83"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2020年决算项目支出为21.51万元，其中：商品和服务支出0万元、基本建设支出21.51万元（党校综合建设项目前期费用）、其他资本性支出0万元。决算数与年初预算指标对比，</w:t>
      </w:r>
      <w:r>
        <w:rPr>
          <w:rFonts w:ascii="仿宋" w:eastAsia="仿宋" w:hAnsi="仿宋" w:cs="仿宋" w:hint="eastAsia"/>
          <w:color w:val="010101"/>
          <w:sz w:val="32"/>
          <w:szCs w:val="32"/>
        </w:rPr>
        <w:lastRenderedPageBreak/>
        <w:t>项目支出差异-55.49万元，其中商品服务支出差异-77万元,基本建设支出差异21.51万元 ；其他资本性差异0万元。主要原因是干部培训教育费经列支了公用经费。</w:t>
      </w:r>
    </w:p>
    <w:p w14:paraId="2BBDEFCB"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（三）“三公”经费情况</w:t>
      </w:r>
    </w:p>
    <w:p w14:paraId="30A519AC" w14:textId="77777777" w:rsidR="007A74EB" w:rsidRDefault="00000000">
      <w:pPr>
        <w:pStyle w:val="aa"/>
        <w:widowControl/>
        <w:spacing w:beforeAutospacing="0" w:afterAutospacing="0" w:line="560" w:lineRule="exact"/>
        <w:ind w:firstLineChars="200" w:firstLine="640"/>
        <w:jc w:val="both"/>
        <w:rPr>
          <w:rFonts w:ascii="Calibri" w:hAnsi="Calibri" w:cs="Calibri"/>
          <w:color w:val="232323"/>
          <w:sz w:val="32"/>
          <w:szCs w:val="32"/>
        </w:rPr>
      </w:pPr>
      <w:r>
        <w:rPr>
          <w:rFonts w:ascii="仿宋" w:eastAsia="仿宋" w:hAnsi="仿宋" w:cs="仿宋" w:hint="eastAsia"/>
          <w:color w:val="010101"/>
          <w:sz w:val="32"/>
          <w:szCs w:val="32"/>
        </w:rPr>
        <w:t>2020年初批复预算的“三公”经费为1万元，其中公务接待费1万元、公务用车购置及运行维护费0万元。</w:t>
      </w:r>
    </w:p>
    <w:p w14:paraId="48D6B24A"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全年决算支出“三公”经费0.05万元，其中公务接待费0.05万元、公务用车购置及运行维护费0万元。较上年支出减少0.27万元，下降84.4%；较年初预算节约0.95万元，节约率95%，完成年初预算的5%。具体情况列表如下：</w:t>
      </w:r>
    </w:p>
    <w:p w14:paraId="6F82980F" w14:textId="77777777" w:rsidR="007A74EB" w:rsidRDefault="00000000">
      <w:pPr>
        <w:pStyle w:val="aa"/>
        <w:widowControl/>
        <w:spacing w:beforeAutospacing="0" w:afterAutospacing="0" w:line="456" w:lineRule="atLeast"/>
        <w:ind w:left="5760" w:hanging="5760"/>
        <w:rPr>
          <w:rFonts w:ascii="Calibri" w:hAnsi="Calibri" w:cs="Calibri"/>
          <w:color w:val="232323"/>
          <w:sz w:val="20"/>
          <w:szCs w:val="20"/>
        </w:rPr>
      </w:pPr>
      <w:r>
        <w:rPr>
          <w:rFonts w:ascii="仿宋" w:eastAsia="仿宋" w:hAnsi="仿宋" w:cs="仿宋" w:hint="eastAsia"/>
          <w:color w:val="010101"/>
          <w:sz w:val="32"/>
          <w:szCs w:val="32"/>
        </w:rPr>
        <w:t>                                                                   金额单位：万元</w:t>
      </w:r>
    </w:p>
    <w:tbl>
      <w:tblPr>
        <w:tblW w:w="0" w:type="auto"/>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76"/>
        <w:gridCol w:w="1418"/>
        <w:gridCol w:w="1417"/>
        <w:gridCol w:w="1418"/>
        <w:gridCol w:w="1559"/>
      </w:tblGrid>
      <w:tr w:rsidR="007A74EB" w14:paraId="4773D7FB" w14:textId="77777777">
        <w:trPr>
          <w:trHeight w:val="84"/>
        </w:trPr>
        <w:tc>
          <w:tcPr>
            <w:tcW w:w="237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0107170"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 xml:space="preserve">　项目</w:t>
            </w:r>
          </w:p>
        </w:tc>
        <w:tc>
          <w:tcPr>
            <w:tcW w:w="1418"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11DC7E14"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年初预算数</w:t>
            </w:r>
          </w:p>
        </w:tc>
        <w:tc>
          <w:tcPr>
            <w:tcW w:w="1417"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52DD7512" w14:textId="1DB9BA54"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年</w:t>
            </w:r>
            <w:proofErr w:type="gramStart"/>
            <w:r>
              <w:rPr>
                <w:rFonts w:ascii="仿宋" w:eastAsia="仿宋" w:hAnsi="仿宋" w:cs="仿宋" w:hint="eastAsia"/>
                <w:color w:val="010101"/>
                <w:sz w:val="32"/>
                <w:szCs w:val="32"/>
              </w:rPr>
              <w:t>末决</w:t>
            </w:r>
            <w:proofErr w:type="gramEnd"/>
            <w:r>
              <w:rPr>
                <w:rFonts w:ascii="仿宋" w:eastAsia="仿宋" w:hAnsi="仿宋" w:cs="仿宋" w:hint="eastAsia"/>
                <w:color w:val="010101"/>
                <w:sz w:val="32"/>
                <w:szCs w:val="32"/>
              </w:rPr>
              <w:t>算数</w:t>
            </w:r>
          </w:p>
        </w:tc>
        <w:tc>
          <w:tcPr>
            <w:tcW w:w="1418"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14E116B1"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金额差异</w:t>
            </w:r>
          </w:p>
        </w:tc>
        <w:tc>
          <w:tcPr>
            <w:tcW w:w="1559"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1A303BD3"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超支节约比率</w:t>
            </w:r>
          </w:p>
        </w:tc>
      </w:tr>
      <w:tr w:rsidR="007A74EB" w14:paraId="78E9A393" w14:textId="77777777">
        <w:trPr>
          <w:trHeight w:val="84"/>
        </w:trPr>
        <w:tc>
          <w:tcPr>
            <w:tcW w:w="2376" w:type="dxa"/>
            <w:tcBorders>
              <w:top w:val="nil"/>
              <w:left w:val="single" w:sz="8" w:space="0" w:color="auto"/>
              <w:bottom w:val="single" w:sz="8" w:space="0" w:color="auto"/>
              <w:right w:val="single" w:sz="8" w:space="0" w:color="auto"/>
            </w:tcBorders>
            <w:shd w:val="clear" w:color="auto" w:fill="auto"/>
            <w:tcMar>
              <w:left w:w="108" w:type="dxa"/>
              <w:right w:w="108" w:type="dxa"/>
            </w:tcMar>
          </w:tcPr>
          <w:p w14:paraId="42319937"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公务接待费</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03CFB571"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1.00</w:t>
            </w:r>
          </w:p>
        </w:tc>
        <w:tc>
          <w:tcPr>
            <w:tcW w:w="1417" w:type="dxa"/>
            <w:tcBorders>
              <w:top w:val="nil"/>
              <w:left w:val="nil"/>
              <w:bottom w:val="single" w:sz="8" w:space="0" w:color="auto"/>
              <w:right w:val="single" w:sz="8" w:space="0" w:color="auto"/>
            </w:tcBorders>
            <w:shd w:val="clear" w:color="auto" w:fill="auto"/>
            <w:tcMar>
              <w:left w:w="108" w:type="dxa"/>
              <w:right w:w="108" w:type="dxa"/>
            </w:tcMar>
          </w:tcPr>
          <w:p w14:paraId="52705716"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0.05</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3AC9D92F"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-0.95</w:t>
            </w:r>
          </w:p>
        </w:tc>
        <w:tc>
          <w:tcPr>
            <w:tcW w:w="1559" w:type="dxa"/>
            <w:tcBorders>
              <w:top w:val="nil"/>
              <w:left w:val="nil"/>
              <w:bottom w:val="single" w:sz="8" w:space="0" w:color="auto"/>
              <w:right w:val="single" w:sz="8" w:space="0" w:color="auto"/>
            </w:tcBorders>
            <w:shd w:val="clear" w:color="auto" w:fill="auto"/>
            <w:tcMar>
              <w:left w:w="108" w:type="dxa"/>
              <w:right w:w="108" w:type="dxa"/>
            </w:tcMar>
          </w:tcPr>
          <w:p w14:paraId="6C9DB304"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-95%</w:t>
            </w:r>
          </w:p>
        </w:tc>
      </w:tr>
      <w:tr w:rsidR="007A74EB" w14:paraId="7C0ADBDB" w14:textId="77777777">
        <w:trPr>
          <w:trHeight w:val="1159"/>
        </w:trPr>
        <w:tc>
          <w:tcPr>
            <w:tcW w:w="2376" w:type="dxa"/>
            <w:tcBorders>
              <w:top w:val="nil"/>
              <w:left w:val="single" w:sz="8" w:space="0" w:color="auto"/>
              <w:bottom w:val="single" w:sz="8" w:space="0" w:color="auto"/>
              <w:right w:val="single" w:sz="8" w:space="0" w:color="auto"/>
            </w:tcBorders>
            <w:shd w:val="clear" w:color="auto" w:fill="auto"/>
            <w:tcMar>
              <w:left w:w="108" w:type="dxa"/>
              <w:right w:w="108" w:type="dxa"/>
            </w:tcMar>
          </w:tcPr>
          <w:p w14:paraId="363539CF"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公务用车购置及运行维护费</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32F79A55"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7" w:type="dxa"/>
            <w:tcBorders>
              <w:top w:val="nil"/>
              <w:left w:val="nil"/>
              <w:bottom w:val="single" w:sz="8" w:space="0" w:color="auto"/>
              <w:right w:val="single" w:sz="8" w:space="0" w:color="auto"/>
            </w:tcBorders>
            <w:shd w:val="clear" w:color="auto" w:fill="auto"/>
            <w:tcMar>
              <w:left w:w="108" w:type="dxa"/>
              <w:right w:w="108" w:type="dxa"/>
            </w:tcMar>
          </w:tcPr>
          <w:p w14:paraId="5FE88A71"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7713E98A"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559" w:type="dxa"/>
            <w:tcBorders>
              <w:top w:val="nil"/>
              <w:left w:val="nil"/>
              <w:bottom w:val="single" w:sz="8" w:space="0" w:color="auto"/>
              <w:right w:val="single" w:sz="8" w:space="0" w:color="auto"/>
            </w:tcBorders>
            <w:shd w:val="clear" w:color="auto" w:fill="auto"/>
            <w:tcMar>
              <w:left w:w="108" w:type="dxa"/>
              <w:right w:w="108" w:type="dxa"/>
            </w:tcMar>
          </w:tcPr>
          <w:p w14:paraId="51F340D4"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r>
      <w:tr w:rsidR="007A74EB" w14:paraId="3BBF6431" w14:textId="77777777">
        <w:trPr>
          <w:trHeight w:val="84"/>
        </w:trPr>
        <w:tc>
          <w:tcPr>
            <w:tcW w:w="2376" w:type="dxa"/>
            <w:tcBorders>
              <w:top w:val="nil"/>
              <w:left w:val="single" w:sz="8" w:space="0" w:color="auto"/>
              <w:bottom w:val="single" w:sz="8" w:space="0" w:color="auto"/>
              <w:right w:val="single" w:sz="8" w:space="0" w:color="auto"/>
            </w:tcBorders>
            <w:shd w:val="clear" w:color="auto" w:fill="auto"/>
            <w:tcMar>
              <w:left w:w="108" w:type="dxa"/>
              <w:right w:w="108" w:type="dxa"/>
            </w:tcMar>
          </w:tcPr>
          <w:p w14:paraId="47A14E67"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其中：公务用车运行维护费</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1249AA59"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7" w:type="dxa"/>
            <w:tcBorders>
              <w:top w:val="nil"/>
              <w:left w:val="nil"/>
              <w:bottom w:val="single" w:sz="8" w:space="0" w:color="auto"/>
              <w:right w:val="single" w:sz="8" w:space="0" w:color="auto"/>
            </w:tcBorders>
            <w:shd w:val="clear" w:color="auto" w:fill="auto"/>
            <w:tcMar>
              <w:left w:w="108" w:type="dxa"/>
              <w:right w:w="108" w:type="dxa"/>
            </w:tcMar>
          </w:tcPr>
          <w:p w14:paraId="2F18E582"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69298983"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559" w:type="dxa"/>
            <w:tcBorders>
              <w:top w:val="nil"/>
              <w:left w:val="nil"/>
              <w:bottom w:val="single" w:sz="8" w:space="0" w:color="auto"/>
              <w:right w:val="single" w:sz="8" w:space="0" w:color="auto"/>
            </w:tcBorders>
            <w:shd w:val="clear" w:color="auto" w:fill="auto"/>
            <w:tcMar>
              <w:left w:w="108" w:type="dxa"/>
              <w:right w:w="108" w:type="dxa"/>
            </w:tcMar>
          </w:tcPr>
          <w:p w14:paraId="798D45E5"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r>
      <w:tr w:rsidR="007A74EB" w14:paraId="6E46FAB9" w14:textId="77777777">
        <w:trPr>
          <w:trHeight w:val="1071"/>
        </w:trPr>
        <w:tc>
          <w:tcPr>
            <w:tcW w:w="2376" w:type="dxa"/>
            <w:tcBorders>
              <w:top w:val="nil"/>
              <w:left w:val="single" w:sz="8" w:space="0" w:color="auto"/>
              <w:bottom w:val="single" w:sz="8" w:space="0" w:color="auto"/>
              <w:right w:val="single" w:sz="8" w:space="0" w:color="auto"/>
            </w:tcBorders>
            <w:shd w:val="clear" w:color="auto" w:fill="auto"/>
            <w:tcMar>
              <w:left w:w="108" w:type="dxa"/>
              <w:right w:w="108" w:type="dxa"/>
            </w:tcMar>
          </w:tcPr>
          <w:p w14:paraId="38738B56"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公务车购置费</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43B52C6C"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7" w:type="dxa"/>
            <w:tcBorders>
              <w:top w:val="nil"/>
              <w:left w:val="nil"/>
              <w:bottom w:val="single" w:sz="8" w:space="0" w:color="auto"/>
              <w:right w:val="single" w:sz="8" w:space="0" w:color="auto"/>
            </w:tcBorders>
            <w:shd w:val="clear" w:color="auto" w:fill="auto"/>
            <w:tcMar>
              <w:left w:w="108" w:type="dxa"/>
              <w:right w:w="108" w:type="dxa"/>
            </w:tcMar>
          </w:tcPr>
          <w:p w14:paraId="1875FE55"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01AAC738"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c>
          <w:tcPr>
            <w:tcW w:w="1559" w:type="dxa"/>
            <w:tcBorders>
              <w:top w:val="nil"/>
              <w:left w:val="nil"/>
              <w:bottom w:val="single" w:sz="8" w:space="0" w:color="auto"/>
              <w:right w:val="single" w:sz="8" w:space="0" w:color="auto"/>
            </w:tcBorders>
            <w:shd w:val="clear" w:color="auto" w:fill="auto"/>
            <w:tcMar>
              <w:left w:w="108" w:type="dxa"/>
              <w:right w:w="108" w:type="dxa"/>
            </w:tcMar>
          </w:tcPr>
          <w:p w14:paraId="0FA955A3"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w:t>
            </w:r>
          </w:p>
        </w:tc>
      </w:tr>
      <w:tr w:rsidR="007A74EB" w14:paraId="2B2F7072" w14:textId="77777777">
        <w:trPr>
          <w:trHeight w:val="540"/>
        </w:trPr>
        <w:tc>
          <w:tcPr>
            <w:tcW w:w="2376" w:type="dxa"/>
            <w:tcBorders>
              <w:top w:val="nil"/>
              <w:left w:val="single" w:sz="8" w:space="0" w:color="auto"/>
              <w:bottom w:val="single" w:sz="8" w:space="0" w:color="auto"/>
              <w:right w:val="single" w:sz="8" w:space="0" w:color="auto"/>
            </w:tcBorders>
            <w:shd w:val="clear" w:color="auto" w:fill="auto"/>
            <w:tcMar>
              <w:left w:w="108" w:type="dxa"/>
              <w:right w:w="108" w:type="dxa"/>
            </w:tcMar>
          </w:tcPr>
          <w:p w14:paraId="340D7801"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合计</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03C18E51"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1.00</w:t>
            </w:r>
          </w:p>
        </w:tc>
        <w:tc>
          <w:tcPr>
            <w:tcW w:w="1417" w:type="dxa"/>
            <w:tcBorders>
              <w:top w:val="nil"/>
              <w:left w:val="nil"/>
              <w:bottom w:val="single" w:sz="8" w:space="0" w:color="auto"/>
              <w:right w:val="single" w:sz="8" w:space="0" w:color="auto"/>
            </w:tcBorders>
            <w:shd w:val="clear" w:color="auto" w:fill="auto"/>
            <w:tcMar>
              <w:left w:w="108" w:type="dxa"/>
              <w:right w:w="108" w:type="dxa"/>
            </w:tcMar>
          </w:tcPr>
          <w:p w14:paraId="337D65A2"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0.05</w:t>
            </w:r>
          </w:p>
        </w:tc>
        <w:tc>
          <w:tcPr>
            <w:tcW w:w="1418" w:type="dxa"/>
            <w:tcBorders>
              <w:top w:val="nil"/>
              <w:left w:val="nil"/>
              <w:bottom w:val="single" w:sz="8" w:space="0" w:color="auto"/>
              <w:right w:val="single" w:sz="8" w:space="0" w:color="auto"/>
            </w:tcBorders>
            <w:shd w:val="clear" w:color="auto" w:fill="auto"/>
            <w:tcMar>
              <w:left w:w="108" w:type="dxa"/>
              <w:right w:w="108" w:type="dxa"/>
            </w:tcMar>
          </w:tcPr>
          <w:p w14:paraId="6CB0D822"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-0.95</w:t>
            </w:r>
          </w:p>
        </w:tc>
        <w:tc>
          <w:tcPr>
            <w:tcW w:w="1559" w:type="dxa"/>
            <w:tcBorders>
              <w:top w:val="nil"/>
              <w:left w:val="nil"/>
              <w:bottom w:val="single" w:sz="8" w:space="0" w:color="auto"/>
              <w:right w:val="single" w:sz="8" w:space="0" w:color="auto"/>
            </w:tcBorders>
            <w:shd w:val="clear" w:color="auto" w:fill="auto"/>
            <w:tcMar>
              <w:left w:w="108" w:type="dxa"/>
              <w:right w:w="108" w:type="dxa"/>
            </w:tcMar>
          </w:tcPr>
          <w:p w14:paraId="576079D9" w14:textId="77777777" w:rsidR="007A74EB" w:rsidRDefault="00000000">
            <w:pPr>
              <w:pStyle w:val="aa"/>
              <w:widowControl/>
              <w:spacing w:beforeAutospacing="0" w:afterAutospacing="0" w:line="456" w:lineRule="atLeast"/>
              <w:jc w:val="both"/>
              <w:rPr>
                <w:rFonts w:ascii="Calibri" w:hAnsi="Calibri" w:cs="Calibri"/>
                <w:sz w:val="20"/>
                <w:szCs w:val="20"/>
              </w:rPr>
            </w:pPr>
            <w:r>
              <w:rPr>
                <w:rFonts w:ascii="仿宋" w:eastAsia="仿宋" w:hAnsi="仿宋" w:cs="仿宋" w:hint="eastAsia"/>
                <w:color w:val="010101"/>
                <w:sz w:val="32"/>
                <w:szCs w:val="32"/>
              </w:rPr>
              <w:t>-95%</w:t>
            </w:r>
          </w:p>
        </w:tc>
      </w:tr>
    </w:tbl>
    <w:p w14:paraId="55F98D7E"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lastRenderedPageBreak/>
        <w:t>1、公务接待费</w:t>
      </w:r>
    </w:p>
    <w:p w14:paraId="61B610EF"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全年国内公务接待共1批次，5人次，其中有公务接待函接待共1批次，5人次。全年决算支出公务接待费0.05万元，较年初预算节约0.95万元，节约率95%；较上年支出减少0.27万元，下降84.4%。</w:t>
      </w:r>
    </w:p>
    <w:p w14:paraId="20B48BD3"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 xml:space="preserve">　2、公务用车购置及运行维护费</w:t>
      </w:r>
    </w:p>
    <w:p w14:paraId="4964DFD0"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2020年单位实有车辆0辆，其中公共预算财政拨款开支运行维护费的公务用车保有量为0辆。其中：</w:t>
      </w:r>
    </w:p>
    <w:p w14:paraId="3DEB1750"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（1）公务车运行维护费</w:t>
      </w:r>
    </w:p>
    <w:p w14:paraId="7EEA2F5A"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2020年的公务车运行维护费为0万元，较年初预算节约0万元，节约0%；平均每台车的运行费用为0万元，较上年平均每台车运行维护费减少（增加）0万元。</w:t>
      </w:r>
    </w:p>
    <w:p w14:paraId="792780FC"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（2）公务用车购置费</w:t>
      </w:r>
    </w:p>
    <w:p w14:paraId="7B8C35F6"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2020年新增公务用车0辆，金额0万元，较年初预算下降0万元，完成预算0%；较上年增加支出0万元。</w:t>
      </w:r>
    </w:p>
    <w:p w14:paraId="4CFF064B"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（3）2020年公务租车78次，金额2.12万元，其中到县外省内租车0 次，金额0万元。</w:t>
      </w:r>
    </w:p>
    <w:p w14:paraId="6EA142AF"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（四）基本支出——公用经费</w:t>
      </w:r>
    </w:p>
    <w:p w14:paraId="3B8832CE"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初批复预算的公用经费为35.11万元，全年决算公用经费支出为66.31万元，较年初预算增加31.2万元，增长88.86%，主要原因是列入了干部培训教育专项费用—会议培训费、委托业务费、专用材料费等；相比上年公用经费决算金额62.09万元，增加4.22万元，增长6.8%。</w:t>
      </w:r>
    </w:p>
    <w:p w14:paraId="7311CCCB"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三、绩效评价工作情况</w:t>
      </w:r>
    </w:p>
    <w:p w14:paraId="0CEA7E49"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lastRenderedPageBreak/>
        <w:t>根据《关于开展2020年度各预算单位部门整体支出绩效自评工作的通知》（</w:t>
      </w:r>
      <w:proofErr w:type="gramStart"/>
      <w:r>
        <w:rPr>
          <w:rFonts w:ascii="仿宋" w:eastAsia="仿宋" w:hAnsi="仿宋" w:cs="仿宋" w:hint="eastAsia"/>
          <w:color w:val="010101"/>
          <w:sz w:val="32"/>
          <w:szCs w:val="32"/>
        </w:rPr>
        <w:t>绥财绩</w:t>
      </w:r>
      <w:proofErr w:type="gramEnd"/>
      <w:r>
        <w:rPr>
          <w:rFonts w:ascii="仿宋" w:eastAsia="仿宋" w:hAnsi="仿宋" w:cs="仿宋" w:hint="eastAsia"/>
          <w:color w:val="010101"/>
          <w:sz w:val="32"/>
          <w:szCs w:val="32"/>
        </w:rPr>
        <w:t>〔2021〕6号）文件，我单位成立了绩效评价工作领导小组，制定了《2020年度财政资金绩效自评方案》，并依据方案组织开展绩效评价工作。评价小组采取座谈等方式听取情况，检查基本支出、项目支出有关账目，收集整理支出相关资料，对绩效自评材料进行分析，形成评价结论。</w:t>
      </w:r>
    </w:p>
    <w:p w14:paraId="1AFB77C9"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四、部门整体支出绩效情况</w:t>
      </w:r>
    </w:p>
    <w:p w14:paraId="3C2F1583"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2020年，我单位在县委、县政府的领导下，坚持依法行政、执法为民，稳中求进，改革创新，积极作为，突出抓改革强监管促发展，各方面工作稳步推进，根据我单位制定的《部门整体支出绩效评价自评分值表》评分，得分91分，财政支出绩效为“优”。主要绩效如下：</w:t>
      </w:r>
    </w:p>
    <w:p w14:paraId="755924F8"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一）行政运行：1、做好学校人事工作：职工的考察、奖惩、选拔、任免、转正、定级、调配、劳动工资、福利等有关具体工作；文件收发、文书起草、印章及档案管理工作；政治学习、理论宣传及会务工作；来信来访工作；计生及综治工作。2、编制并组织实施各种班次的教学计划；搞好了干部教育研究，教工设备及上课质量检查工作；教工社会调查及论文撰写、选送工作；教工的职称评聘工作；远程教育及干部计算机学习、考试、发证工作；图书资料及其他教学设备管理工作。3、做好财务工作，搞好校产管理；做好了办公用品的配置和管理工作、学校水电管理工作、学校食堂及学生宿舍管理工作、学校卫生及绿化工作；抓好了基础建设。4、不断加强了教师队伍建设，优化了教学改革，推动案例式教学与实践教学。</w:t>
      </w:r>
    </w:p>
    <w:p w14:paraId="77EC2AE3"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lastRenderedPageBreak/>
        <w:t>（二）经济发展：1、开展精准扶贫工作，致力结队帮扶；麻塘</w:t>
      </w:r>
      <w:proofErr w:type="gramStart"/>
      <w:r>
        <w:rPr>
          <w:rFonts w:ascii="仿宋" w:eastAsia="仿宋" w:hAnsi="仿宋" w:cs="仿宋" w:hint="eastAsia"/>
          <w:color w:val="010101"/>
          <w:sz w:val="32"/>
          <w:szCs w:val="32"/>
        </w:rPr>
        <w:t>乡江抱村</w:t>
      </w:r>
      <w:proofErr w:type="gramEnd"/>
      <w:r>
        <w:rPr>
          <w:rFonts w:ascii="仿宋" w:eastAsia="仿宋" w:hAnsi="仿宋" w:cs="仿宋" w:hint="eastAsia"/>
          <w:color w:val="010101"/>
          <w:sz w:val="32"/>
          <w:szCs w:val="32"/>
        </w:rPr>
        <w:t>精准扶贫工作的开展和对接；2、党校整体搬迁项目管理，加快搬迁进度，协调各部门；3、全面建设小康社会，发挥培训阵地优势，提高党员干部全面建设小康社会的服务能力；发挥资源优势，形成培训网络，宣传小康政策；4、全面深化改革工作：着力整合推进教研一体化，建立符合县级学校培训教育特点的师资考核评价体系，建立了学员考核量化评价指标体系；5、全面优化经济发展环境，在培训中，与当前市场经济与现代化建设的新要求和新任务有效结合教学，拓展了多层次、多方位办学空间和培训构架。</w:t>
      </w:r>
    </w:p>
    <w:p w14:paraId="3A363CC7"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三）社会管理：1.人口与计划生育工作，配合组织部将计划生育知识纳入班级教学，做好计划生育知识宣传；2.社会管理综合治理工作的开展：成立领导小组设立专干，配备电子办公设备，召开两次以上家属座谈会，开展禁毒宣传平安创建活动；3.司法普法学习教育：组织干部自身的司法普法学习考试，将司法普法知识纳入培训课堂；4.政务公开与电子政务：加强内部机构设置，更新电子及网络设备，实行科学教学；5.节能减排：完善办公室、食堂等设施，制定节能减排制度，张贴宣传资料；6.配合我县争创省级卫生城市，开展创卫工作，每周打扫一次，做好卫生知识和健康知识宣传；7.妇女儿童保护工作：组织妇女干部三八妇女节活动，每年进行体检，将退休老干部组织起来做好关心下一代工作，开展经验教育、安全知识宣传；8.应急管理：成立应急管理小组，加强对单位突发</w:t>
      </w:r>
      <w:r>
        <w:rPr>
          <w:rFonts w:ascii="仿宋" w:eastAsia="仿宋" w:hAnsi="仿宋" w:cs="仿宋" w:hint="eastAsia"/>
          <w:color w:val="010101"/>
          <w:sz w:val="32"/>
          <w:szCs w:val="32"/>
        </w:rPr>
        <w:lastRenderedPageBreak/>
        <w:t>事件的应急处置；并将对各级领导干部对突发事件的处置能力和应急指挥能力的培训纳入科干班及领导培训班的课程。</w:t>
      </w:r>
    </w:p>
    <w:p w14:paraId="4DC670F0"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（四）公共服务：1</w:t>
      </w:r>
      <w:r>
        <w:rPr>
          <w:rFonts w:ascii="仿宋" w:eastAsia="仿宋" w:hAnsi="仿宋" w:cs="仿宋"/>
          <w:color w:val="010101"/>
          <w:sz w:val="32"/>
          <w:szCs w:val="32"/>
        </w:rPr>
        <w:t>.</w:t>
      </w:r>
      <w:r>
        <w:rPr>
          <w:rFonts w:ascii="仿宋" w:eastAsia="仿宋" w:hAnsi="仿宋" w:cs="仿宋" w:hint="eastAsia"/>
          <w:color w:val="010101"/>
          <w:sz w:val="32"/>
          <w:szCs w:val="32"/>
        </w:rPr>
        <w:t>环境保护：将环境保护和生态文明建设政策在干部与学员中宣传到位，保护环境人人有责，对学校教学楼及报告</w:t>
      </w:r>
      <w:proofErr w:type="gramStart"/>
      <w:r>
        <w:rPr>
          <w:rFonts w:ascii="仿宋" w:eastAsia="仿宋" w:hAnsi="仿宋" w:cs="仿宋" w:hint="eastAsia"/>
          <w:color w:val="010101"/>
          <w:sz w:val="32"/>
          <w:szCs w:val="32"/>
        </w:rPr>
        <w:t>厅教学</w:t>
      </w:r>
      <w:proofErr w:type="gramEnd"/>
      <w:r>
        <w:rPr>
          <w:rFonts w:ascii="仿宋" w:eastAsia="仿宋" w:hAnsi="仿宋" w:cs="仿宋" w:hint="eastAsia"/>
          <w:color w:val="010101"/>
          <w:sz w:val="32"/>
          <w:szCs w:val="32"/>
        </w:rPr>
        <w:t>设备进行维护，保持院落环境美化；做好图书资料的添置与图书设备的维护，营造学校的读书氛围；2.安全生产：加强干部安全意识知识培训，将安全知识纳入各培训班，普及并增强领导干部的安全知识和防患意识；3.就业社保：及时缴纳社保资金，聘请临时工一名，支付其工资及五险</w:t>
      </w:r>
      <w:proofErr w:type="gramStart"/>
      <w:r>
        <w:rPr>
          <w:rFonts w:ascii="仿宋" w:eastAsia="仿宋" w:hAnsi="仿宋" w:cs="仿宋" w:hint="eastAsia"/>
          <w:color w:val="010101"/>
          <w:sz w:val="32"/>
          <w:szCs w:val="32"/>
        </w:rPr>
        <w:t>一</w:t>
      </w:r>
      <w:proofErr w:type="gramEnd"/>
      <w:r>
        <w:rPr>
          <w:rFonts w:ascii="仿宋" w:eastAsia="仿宋" w:hAnsi="仿宋" w:cs="仿宋" w:hint="eastAsia"/>
          <w:color w:val="010101"/>
          <w:sz w:val="32"/>
          <w:szCs w:val="32"/>
        </w:rPr>
        <w:t>金；4.为民办实事：驻村工作队员及帮扶工作人员</w:t>
      </w:r>
      <w:proofErr w:type="gramStart"/>
      <w:r>
        <w:rPr>
          <w:rFonts w:ascii="仿宋" w:eastAsia="仿宋" w:hAnsi="仿宋" w:cs="仿宋" w:hint="eastAsia"/>
          <w:color w:val="010101"/>
          <w:sz w:val="32"/>
          <w:szCs w:val="32"/>
        </w:rPr>
        <w:t>深入麻塘乡江抱村</w:t>
      </w:r>
      <w:proofErr w:type="gramEnd"/>
      <w:r>
        <w:rPr>
          <w:rFonts w:ascii="仿宋" w:eastAsia="仿宋" w:hAnsi="仿宋" w:cs="仿宋" w:hint="eastAsia"/>
          <w:color w:val="010101"/>
          <w:sz w:val="32"/>
          <w:szCs w:val="32"/>
        </w:rPr>
        <w:t>进行调研走访，</w:t>
      </w:r>
      <w:proofErr w:type="gramStart"/>
      <w:r>
        <w:rPr>
          <w:rFonts w:ascii="仿宋" w:eastAsia="仿宋" w:hAnsi="仿宋" w:cs="仿宋" w:hint="eastAsia"/>
          <w:color w:val="010101"/>
          <w:sz w:val="32"/>
          <w:szCs w:val="32"/>
        </w:rPr>
        <w:t>宣扬党</w:t>
      </w:r>
      <w:proofErr w:type="gramEnd"/>
      <w:r>
        <w:rPr>
          <w:rFonts w:ascii="仿宋" w:eastAsia="仿宋" w:hAnsi="仿宋" w:cs="仿宋" w:hint="eastAsia"/>
          <w:color w:val="010101"/>
          <w:sz w:val="32"/>
          <w:szCs w:val="32"/>
        </w:rPr>
        <w:t>的政策，送温暖送政策送物品，一起劳动。</w:t>
      </w:r>
    </w:p>
    <w:p w14:paraId="50E78E70"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五）以社会主义核心价值体系统领党校文化建设，以现代教学理念为指导，与干部教育相结合提高干部教育和科研资政的核心竞争力；提高培训质量和效果，对中青班教学形式进行改革；扩大培训范围培训领域，协助县</w:t>
      </w:r>
      <w:proofErr w:type="gramStart"/>
      <w:r>
        <w:rPr>
          <w:rFonts w:ascii="仿宋" w:eastAsia="仿宋" w:hAnsi="仿宋" w:cs="仿宋" w:hint="eastAsia"/>
          <w:color w:val="010101"/>
          <w:sz w:val="32"/>
          <w:szCs w:val="32"/>
        </w:rPr>
        <w:t>人社局</w:t>
      </w:r>
      <w:proofErr w:type="gramEnd"/>
      <w:r>
        <w:rPr>
          <w:rFonts w:ascii="仿宋" w:eastAsia="仿宋" w:hAnsi="仿宋" w:cs="仿宋" w:hint="eastAsia"/>
          <w:color w:val="010101"/>
          <w:sz w:val="32"/>
          <w:szCs w:val="32"/>
        </w:rPr>
        <w:t>举办新录用公务员初任培训班75人次，建党对象培训班2期250人次，科干培训班1期45人次；到各机关单位及乡镇进行十九届四中全会的宣讲；我校领导和骨干教师参加了组织部新派驻村干部和新上任村干部扶贫理论宣讲工作及组织部安排的“党课开讲了”活动。</w:t>
      </w:r>
    </w:p>
    <w:p w14:paraId="5E504410"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（六）党务建设：我校支部始终以“关注大局，服务中心”为目标， 按照抓</w:t>
      </w:r>
      <w:proofErr w:type="gramStart"/>
      <w:r>
        <w:rPr>
          <w:rFonts w:ascii="仿宋" w:eastAsia="仿宋" w:hAnsi="仿宋" w:cs="仿宋" w:hint="eastAsia"/>
          <w:color w:val="010101"/>
          <w:sz w:val="32"/>
          <w:szCs w:val="32"/>
        </w:rPr>
        <w:t>党建带</w:t>
      </w:r>
      <w:proofErr w:type="gramEnd"/>
      <w:r>
        <w:rPr>
          <w:rFonts w:ascii="仿宋" w:eastAsia="仿宋" w:hAnsi="仿宋" w:cs="仿宋" w:hint="eastAsia"/>
          <w:color w:val="010101"/>
          <w:sz w:val="32"/>
          <w:szCs w:val="32"/>
        </w:rPr>
        <w:t>队伍促发展作为党建工作的落脚点和出发点。以党建工作推动教育、行政、工会、综治、扶贫等工作</w:t>
      </w:r>
      <w:r>
        <w:rPr>
          <w:rFonts w:ascii="仿宋" w:eastAsia="仿宋" w:hAnsi="仿宋" w:cs="仿宋" w:hint="eastAsia"/>
          <w:color w:val="010101"/>
          <w:sz w:val="32"/>
          <w:szCs w:val="32"/>
        </w:rPr>
        <w:lastRenderedPageBreak/>
        <w:t>圆满完成。严格按照组织部定的党费标准及收缴取每个党员应交的党费，按时上交组织部门，确保党员认真履行义务；严格落实“一岗双责制度”，校领导坚决执行业务、党务两手抓，实行一岗双责。严格落实“三会一课”制度，每季度召开校委会和支部会议，按时开展专题党课，组织党员学习；坚持党员积分管理制度，对在职党员从政治合格、执行纪律合格、组织合格、发挥作用</w:t>
      </w:r>
      <w:proofErr w:type="gramStart"/>
      <w:r>
        <w:rPr>
          <w:rFonts w:ascii="仿宋" w:eastAsia="仿宋" w:hAnsi="仿宋" w:cs="仿宋" w:hint="eastAsia"/>
          <w:color w:val="010101"/>
          <w:sz w:val="32"/>
          <w:szCs w:val="32"/>
        </w:rPr>
        <w:t>合格四</w:t>
      </w:r>
      <w:proofErr w:type="gramEnd"/>
      <w:r>
        <w:rPr>
          <w:rFonts w:ascii="仿宋" w:eastAsia="仿宋" w:hAnsi="仿宋" w:cs="仿宋" w:hint="eastAsia"/>
          <w:color w:val="010101"/>
          <w:sz w:val="32"/>
          <w:szCs w:val="32"/>
        </w:rPr>
        <w:t>方面，按季度积分登记考核，有效地加强了对党员的考核。</w:t>
      </w:r>
    </w:p>
    <w:p w14:paraId="485010CC"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（七）教师队伍管理：招考</w:t>
      </w:r>
      <w:proofErr w:type="gramStart"/>
      <w:r>
        <w:rPr>
          <w:rFonts w:ascii="仿宋" w:eastAsia="仿宋" w:hAnsi="仿宋" w:cs="仿宋" w:hint="eastAsia"/>
          <w:color w:val="010101"/>
          <w:sz w:val="32"/>
          <w:szCs w:val="32"/>
        </w:rPr>
        <w:t>聘任高</w:t>
      </w:r>
      <w:proofErr w:type="gramEnd"/>
      <w:r>
        <w:rPr>
          <w:rFonts w:ascii="仿宋" w:eastAsia="仿宋" w:hAnsi="仿宋" w:cs="仿宋" w:hint="eastAsia"/>
          <w:color w:val="010101"/>
          <w:sz w:val="32"/>
          <w:szCs w:val="32"/>
        </w:rPr>
        <w:t>素质人才，优化教学，推动案例式教学与实践教学；安排教师参加省、市教学比赛；安排教师赴省、市党校培训，并参加教学比武；带领教师下乡调研宣讲。</w:t>
      </w:r>
    </w:p>
    <w:p w14:paraId="42A14D08" w14:textId="77777777" w:rsidR="007A74EB" w:rsidRPr="0079653C"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sidRPr="0079653C">
        <w:rPr>
          <w:rFonts w:ascii="仿宋" w:eastAsia="仿宋" w:hAnsi="仿宋" w:cs="仿宋" w:hint="eastAsia"/>
          <w:color w:val="010101"/>
          <w:sz w:val="32"/>
          <w:szCs w:val="32"/>
        </w:rPr>
        <w:t>五、存在的主要问题</w:t>
      </w:r>
    </w:p>
    <w:p w14:paraId="41150D77"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（一）预算执行： 单位内部预算细化执行不到位，财务要求各组室要将项目与资金进行匹配，各组</w:t>
      </w:r>
      <w:proofErr w:type="gramStart"/>
      <w:r>
        <w:rPr>
          <w:rFonts w:ascii="仿宋" w:eastAsia="仿宋" w:hAnsi="仿宋" w:cs="仿宋" w:hint="eastAsia"/>
          <w:color w:val="010101"/>
          <w:sz w:val="32"/>
          <w:szCs w:val="32"/>
        </w:rPr>
        <w:t>室不能</w:t>
      </w:r>
      <w:proofErr w:type="gramEnd"/>
      <w:r>
        <w:rPr>
          <w:rFonts w:ascii="仿宋" w:eastAsia="仿宋" w:hAnsi="仿宋" w:cs="仿宋" w:hint="eastAsia"/>
          <w:color w:val="010101"/>
          <w:sz w:val="32"/>
          <w:szCs w:val="32"/>
        </w:rPr>
        <w:t>细化并有效执行；</w:t>
      </w:r>
    </w:p>
    <w:p w14:paraId="5FB254BD"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（二）资产核算 ：对资产只重视购置和使用效果，日常管理不完善，没有将资产的使用及保管很好地落实到人；对资产缺乏定期清查盘点；</w:t>
      </w:r>
    </w:p>
    <w:p w14:paraId="5769AD93"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（三）内部管理 ：内控意识薄弱，对内部控制重要性认识不够，国有资产管理重购轻管；</w:t>
      </w:r>
    </w:p>
    <w:p w14:paraId="0C34D538"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 xml:space="preserve">　六、改进措施和有关建议</w:t>
      </w:r>
    </w:p>
    <w:p w14:paraId="61E47FA3"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lastRenderedPageBreak/>
        <w:t>（一）财务要将经费预算与各组室的工作有效衔接，纳入部门年度绩效考核，与各部门签订责任书，严格按内控制度加强支出管理，使预算管理贯穿于单位经济活动全过程。</w:t>
      </w:r>
    </w:p>
    <w:p w14:paraId="16017632" w14:textId="0E66A7DC" w:rsidR="007A74EB" w:rsidRDefault="0079653C">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w:t>
      </w:r>
      <w:r w:rsidR="00000000">
        <w:rPr>
          <w:rFonts w:ascii="仿宋" w:eastAsia="仿宋" w:hAnsi="仿宋" w:cs="仿宋" w:hint="eastAsia"/>
          <w:color w:val="010101"/>
          <w:sz w:val="32"/>
          <w:szCs w:val="32"/>
        </w:rPr>
        <w:t>二）对资产核算方面存在的问题，要提高管理人员的国有资产意识，加强日常管理，完善资产管理机制，采取资产记录、实物保管、定期盘点、账实核对等措施，确保资产安全完整；按有关规定及时处置闲置、报废资产。</w:t>
      </w:r>
    </w:p>
    <w:p w14:paraId="512017CE" w14:textId="77777777" w:rsidR="007A74EB" w:rsidRDefault="00000000">
      <w:pPr>
        <w:pStyle w:val="aa"/>
        <w:widowControl/>
        <w:spacing w:beforeAutospacing="0" w:afterAutospacing="0" w:line="560" w:lineRule="exact"/>
        <w:ind w:firstLineChars="200" w:firstLine="640"/>
        <w:jc w:val="both"/>
        <w:rPr>
          <w:rFonts w:ascii="仿宋" w:eastAsia="仿宋" w:hAnsi="仿宋" w:cs="仿宋"/>
          <w:color w:val="010101"/>
          <w:sz w:val="32"/>
          <w:szCs w:val="32"/>
        </w:rPr>
      </w:pPr>
      <w:r>
        <w:rPr>
          <w:rFonts w:ascii="仿宋" w:eastAsia="仿宋" w:hAnsi="仿宋" w:cs="仿宋" w:hint="eastAsia"/>
          <w:color w:val="010101"/>
          <w:sz w:val="32"/>
          <w:szCs w:val="32"/>
        </w:rPr>
        <w:t>（三）加强资金监督管理，实行经费包干，降低运行成本。</w:t>
      </w:r>
    </w:p>
    <w:p w14:paraId="573E2A27" w14:textId="77777777" w:rsidR="007A74EB" w:rsidRDefault="007A74EB">
      <w:pPr>
        <w:pStyle w:val="aa"/>
        <w:widowControl/>
        <w:spacing w:beforeAutospacing="0" w:afterAutospacing="0" w:line="560" w:lineRule="exact"/>
        <w:ind w:firstLineChars="200" w:firstLine="640"/>
        <w:jc w:val="both"/>
        <w:rPr>
          <w:rFonts w:ascii="仿宋" w:eastAsia="仿宋" w:hAnsi="仿宋" w:cs="仿宋"/>
          <w:color w:val="010101"/>
          <w:sz w:val="32"/>
          <w:szCs w:val="32"/>
        </w:rPr>
      </w:pPr>
    </w:p>
    <w:p w14:paraId="06E3FEBA" w14:textId="77777777" w:rsidR="007A74EB" w:rsidRDefault="007A74EB">
      <w:pPr>
        <w:pStyle w:val="aa"/>
        <w:widowControl/>
        <w:spacing w:beforeAutospacing="0" w:afterAutospacing="0" w:line="560" w:lineRule="exact"/>
        <w:ind w:firstLineChars="200" w:firstLine="640"/>
        <w:jc w:val="both"/>
        <w:rPr>
          <w:rFonts w:ascii="仿宋" w:eastAsia="仿宋" w:hAnsi="仿宋" w:cs="仿宋"/>
          <w:color w:val="010101"/>
          <w:sz w:val="32"/>
          <w:szCs w:val="32"/>
        </w:rPr>
      </w:pPr>
    </w:p>
    <w:p w14:paraId="73AFCFE7" w14:textId="77777777" w:rsidR="007A74EB" w:rsidRDefault="007A74EB">
      <w:pPr>
        <w:shd w:val="solid" w:color="FFFFFF" w:fill="auto"/>
        <w:autoSpaceDN w:val="0"/>
        <w:spacing w:line="560" w:lineRule="atLeast"/>
        <w:ind w:firstLine="640"/>
        <w:rPr>
          <w:rFonts w:ascii="黑体" w:eastAsia="黑体" w:cs="仿宋_GB2312"/>
          <w:color w:val="000000"/>
          <w:sz w:val="32"/>
          <w:szCs w:val="32"/>
        </w:rPr>
      </w:pPr>
    </w:p>
    <w:sectPr w:rsidR="007A74EB">
      <w:headerReference w:type="default" r:id="rId8"/>
      <w:footerReference w:type="even" r:id="rId9"/>
      <w:footerReference w:type="default" r:id="rId10"/>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76FA" w14:textId="77777777" w:rsidR="00826337" w:rsidRDefault="00826337">
      <w:r>
        <w:separator/>
      </w:r>
    </w:p>
  </w:endnote>
  <w:endnote w:type="continuationSeparator" w:id="0">
    <w:p w14:paraId="1D5FBAE2" w14:textId="77777777" w:rsidR="00826337" w:rsidRDefault="0082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1561" w14:textId="77777777" w:rsidR="007A74EB" w:rsidRDefault="00000000">
    <w:pPr>
      <w:pStyle w:val="a6"/>
      <w:framePr w:wrap="around" w:vAnchor="text" w:hAnchor="margin" w:xAlign="outside" w:y="1"/>
      <w:rPr>
        <w:rStyle w:val="ac"/>
      </w:rPr>
    </w:pPr>
    <w:r>
      <w:fldChar w:fldCharType="begin"/>
    </w:r>
    <w:r>
      <w:rPr>
        <w:rStyle w:val="ac"/>
      </w:rPr>
      <w:instrText xml:space="preserve">PAGE  </w:instrText>
    </w:r>
    <w:r>
      <w:fldChar w:fldCharType="separate"/>
    </w:r>
    <w:r>
      <w:rPr>
        <w:rStyle w:val="ac"/>
      </w:rPr>
      <w:t>1</w:t>
    </w:r>
    <w:r>
      <w:fldChar w:fldCharType="end"/>
    </w:r>
  </w:p>
  <w:p w14:paraId="4E0DFE62" w14:textId="77777777" w:rsidR="007A74EB" w:rsidRDefault="007A74E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14E3" w14:textId="77777777" w:rsidR="007A74EB" w:rsidRDefault="007A74E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152B" w14:textId="77777777" w:rsidR="00826337" w:rsidRDefault="00826337">
      <w:r>
        <w:separator/>
      </w:r>
    </w:p>
  </w:footnote>
  <w:footnote w:type="continuationSeparator" w:id="0">
    <w:p w14:paraId="423D5542" w14:textId="77777777" w:rsidR="00826337" w:rsidRDefault="0082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FD89" w14:textId="77777777" w:rsidR="007A74EB" w:rsidRDefault="00000000">
    <w:pPr>
      <w:pStyle w:val="a8"/>
    </w:pPr>
    <w:r>
      <w:rPr>
        <w:noProof/>
      </w:rPr>
      <mc:AlternateContent>
        <mc:Choice Requires="wps">
          <w:drawing>
            <wp:anchor distT="0" distB="0" distL="114300" distR="114300" simplePos="0" relativeHeight="251659264" behindDoc="0" locked="0" layoutInCell="1" allowOverlap="1" wp14:anchorId="46908EA1" wp14:editId="32BCA29C">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B718A3" w14:textId="77777777" w:rsidR="007A74EB" w:rsidRDefault="00000000">
                          <w:pPr>
                            <w:pStyle w:val="a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908EA1"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9B718A3" w14:textId="77777777" w:rsidR="007A74EB" w:rsidRDefault="00000000">
                    <w:pPr>
                      <w:pStyle w:val="a8"/>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AxODhlYWYyMTMwMDI3OWQ5M2IxNjE3YTE5YTExODYifQ=="/>
  </w:docVars>
  <w:rsids>
    <w:rsidRoot w:val="008E2385"/>
    <w:rsid w:val="00053992"/>
    <w:rsid w:val="00086998"/>
    <w:rsid w:val="00115BBB"/>
    <w:rsid w:val="001A4FFC"/>
    <w:rsid w:val="00271653"/>
    <w:rsid w:val="002721BD"/>
    <w:rsid w:val="00347923"/>
    <w:rsid w:val="003A1428"/>
    <w:rsid w:val="003D42E7"/>
    <w:rsid w:val="004435B3"/>
    <w:rsid w:val="00481C31"/>
    <w:rsid w:val="004866AF"/>
    <w:rsid w:val="006E55D0"/>
    <w:rsid w:val="006F1AE3"/>
    <w:rsid w:val="0079653C"/>
    <w:rsid w:val="007A74EB"/>
    <w:rsid w:val="00826337"/>
    <w:rsid w:val="00850F60"/>
    <w:rsid w:val="00852363"/>
    <w:rsid w:val="008D7356"/>
    <w:rsid w:val="008E2385"/>
    <w:rsid w:val="008F6643"/>
    <w:rsid w:val="009155C8"/>
    <w:rsid w:val="009369F2"/>
    <w:rsid w:val="00976D0A"/>
    <w:rsid w:val="00A30686"/>
    <w:rsid w:val="00AF7279"/>
    <w:rsid w:val="00B96318"/>
    <w:rsid w:val="00BC29B4"/>
    <w:rsid w:val="00BC457C"/>
    <w:rsid w:val="00BC6498"/>
    <w:rsid w:val="00C20960"/>
    <w:rsid w:val="00C47D73"/>
    <w:rsid w:val="00CE5B7B"/>
    <w:rsid w:val="00CF722D"/>
    <w:rsid w:val="00D60451"/>
    <w:rsid w:val="00D620F7"/>
    <w:rsid w:val="00E115BB"/>
    <w:rsid w:val="00F31AD1"/>
    <w:rsid w:val="02063851"/>
    <w:rsid w:val="02FA2B02"/>
    <w:rsid w:val="03561F09"/>
    <w:rsid w:val="0401300F"/>
    <w:rsid w:val="0412692C"/>
    <w:rsid w:val="05D24461"/>
    <w:rsid w:val="0712411D"/>
    <w:rsid w:val="07E92F7B"/>
    <w:rsid w:val="09FC79EC"/>
    <w:rsid w:val="0A8D3DE6"/>
    <w:rsid w:val="0C1F782F"/>
    <w:rsid w:val="0C3B0B54"/>
    <w:rsid w:val="0D711E29"/>
    <w:rsid w:val="0DD74424"/>
    <w:rsid w:val="0F0B05D3"/>
    <w:rsid w:val="0FD0770A"/>
    <w:rsid w:val="11D13B27"/>
    <w:rsid w:val="1564449E"/>
    <w:rsid w:val="16D230C1"/>
    <w:rsid w:val="1717049C"/>
    <w:rsid w:val="199450E1"/>
    <w:rsid w:val="1C172E5D"/>
    <w:rsid w:val="1DAA6E18"/>
    <w:rsid w:val="1DD14AE2"/>
    <w:rsid w:val="1E9A4F48"/>
    <w:rsid w:val="21C910B4"/>
    <w:rsid w:val="22963A55"/>
    <w:rsid w:val="278D0032"/>
    <w:rsid w:val="27A56461"/>
    <w:rsid w:val="27B22553"/>
    <w:rsid w:val="28481571"/>
    <w:rsid w:val="2B035150"/>
    <w:rsid w:val="2B52269E"/>
    <w:rsid w:val="2B993309"/>
    <w:rsid w:val="2C224097"/>
    <w:rsid w:val="2D5C0C2C"/>
    <w:rsid w:val="31CF3B77"/>
    <w:rsid w:val="32056724"/>
    <w:rsid w:val="32BB3F33"/>
    <w:rsid w:val="332551A6"/>
    <w:rsid w:val="335D5E8C"/>
    <w:rsid w:val="341D24AA"/>
    <w:rsid w:val="34B814C6"/>
    <w:rsid w:val="355D635D"/>
    <w:rsid w:val="389B1C85"/>
    <w:rsid w:val="3D360CEC"/>
    <w:rsid w:val="3D510A70"/>
    <w:rsid w:val="3DB715DA"/>
    <w:rsid w:val="3EF12BAC"/>
    <w:rsid w:val="48F14598"/>
    <w:rsid w:val="4AE671E0"/>
    <w:rsid w:val="4B075CD5"/>
    <w:rsid w:val="4E526C3C"/>
    <w:rsid w:val="53757567"/>
    <w:rsid w:val="542B716B"/>
    <w:rsid w:val="55A57753"/>
    <w:rsid w:val="577658BF"/>
    <w:rsid w:val="57B3472F"/>
    <w:rsid w:val="587A7B9F"/>
    <w:rsid w:val="59C460AA"/>
    <w:rsid w:val="5D4F1C29"/>
    <w:rsid w:val="5F015114"/>
    <w:rsid w:val="621E22D4"/>
    <w:rsid w:val="63524EC4"/>
    <w:rsid w:val="63AD031E"/>
    <w:rsid w:val="640073EE"/>
    <w:rsid w:val="64604E02"/>
    <w:rsid w:val="6E493DC7"/>
    <w:rsid w:val="6E864FD7"/>
    <w:rsid w:val="6FCB6675"/>
    <w:rsid w:val="749968F5"/>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07F1"/>
  <w15:docId w15:val="{1D562C20-A599-4A0D-A208-E1AAE482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Lines="117"/>
    </w:pPr>
    <w:rPr>
      <w:rFonts w:asciiTheme="minorHAnsi" w:eastAsiaTheme="minorEastAsia" w:hAnsiTheme="minorHAnsi" w:cs="Calibri"/>
      <w:kern w:val="0"/>
      <w:szCs w:val="21"/>
      <w:lang w:bidi="hi-IN"/>
    </w:rPr>
  </w:style>
  <w:style w:type="paragraph" w:styleId="a4">
    <w:name w:val="Document Map"/>
    <w:basedOn w:val="a"/>
    <w:link w:val="a5"/>
    <w:uiPriority w:val="99"/>
    <w:semiHidden/>
    <w:unhideWhenUsed/>
    <w:qFormat/>
    <w:rPr>
      <w:rFonts w:ascii="宋体"/>
      <w:sz w:val="18"/>
      <w:szCs w:val="18"/>
    </w:rPr>
  </w:style>
  <w:style w:type="paragraph" w:styleId="a6">
    <w:name w:val="footer"/>
    <w:basedOn w:val="a"/>
    <w:link w:val="a7"/>
    <w:unhideWhenUsed/>
    <w:qFormat/>
    <w:pPr>
      <w:tabs>
        <w:tab w:val="center" w:pos="4153"/>
        <w:tab w:val="right" w:pos="8306"/>
      </w:tabs>
      <w:snapToGrid w:val="0"/>
      <w:jc w:val="left"/>
    </w:pPr>
    <w:rPr>
      <w:sz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jc w:val="left"/>
    </w:pPr>
    <w:rPr>
      <w:kern w:val="0"/>
      <w:sz w:val="24"/>
    </w:rPr>
  </w:style>
  <w:style w:type="character" w:styleId="ab">
    <w:name w:val="Strong"/>
    <w:basedOn w:val="a1"/>
    <w:uiPriority w:val="22"/>
    <w:qFormat/>
    <w:rPr>
      <w:b/>
      <w:bCs/>
    </w:rPr>
  </w:style>
  <w:style w:type="character" w:styleId="ac">
    <w:name w:val="page number"/>
    <w:basedOn w:val="a1"/>
    <w:uiPriority w:val="99"/>
    <w:unhideWhenUsed/>
    <w:qFormat/>
  </w:style>
  <w:style w:type="character" w:styleId="ad">
    <w:name w:val="Emphasis"/>
    <w:basedOn w:val="a1"/>
    <w:uiPriority w:val="20"/>
    <w:qFormat/>
    <w:rPr>
      <w:i/>
      <w:iCs/>
    </w:rPr>
  </w:style>
  <w:style w:type="character" w:styleId="ae">
    <w:name w:val="Hyperlink"/>
    <w:basedOn w:val="a1"/>
    <w:uiPriority w:val="99"/>
    <w:unhideWhenUsed/>
    <w:qFormat/>
    <w:rPr>
      <w:color w:val="0000FF"/>
      <w:u w:val="single"/>
    </w:rPr>
  </w:style>
  <w:style w:type="paragraph" w:styleId="af">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20">
    <w:name w:val="标题 2 字符"/>
    <w:basedOn w:val="a1"/>
    <w:link w:val="2"/>
    <w:uiPriority w:val="9"/>
    <w:qFormat/>
    <w:rPr>
      <w:rFonts w:ascii="宋体" w:eastAsia="宋体" w:hAnsi="宋体" w:cs="宋体"/>
      <w:b/>
      <w:bCs/>
      <w:kern w:val="0"/>
      <w:sz w:val="36"/>
      <w:szCs w:val="36"/>
    </w:rPr>
  </w:style>
  <w:style w:type="character" w:customStyle="1" w:styleId="a7">
    <w:name w:val="页脚 字符"/>
    <w:basedOn w:val="a1"/>
    <w:link w:val="a6"/>
    <w:qFormat/>
    <w:rPr>
      <w:rFonts w:ascii="Times New Roman" w:eastAsia="宋体" w:hAnsi="Times New Roman" w:cs="Times New Roman"/>
      <w:sz w:val="18"/>
      <w:szCs w:val="24"/>
    </w:rPr>
  </w:style>
  <w:style w:type="character" w:customStyle="1" w:styleId="a5">
    <w:name w:val="文档结构图 字符"/>
    <w:basedOn w:val="a1"/>
    <w:link w:val="a4"/>
    <w:uiPriority w:val="99"/>
    <w:semiHidden/>
    <w:qFormat/>
    <w:rPr>
      <w:rFonts w:ascii="宋体" w:eastAsia="宋体" w:hAnsi="Times New Roman" w:cs="Times New Roman"/>
      <w:sz w:val="18"/>
      <w:szCs w:val="18"/>
    </w:rPr>
  </w:style>
  <w:style w:type="character" w:customStyle="1" w:styleId="a9">
    <w:name w:val="页眉 字符"/>
    <w:basedOn w:val="a1"/>
    <w:link w:val="a8"/>
    <w:uiPriority w:val="99"/>
    <w:semiHidden/>
    <w:qFormat/>
    <w:rPr>
      <w:rFonts w:ascii="Times New Roman" w:eastAsia="宋体" w:hAnsi="Times New Roman" w:cs="Times New Roman"/>
      <w:sz w:val="18"/>
      <w:szCs w:val="18"/>
    </w:rPr>
  </w:style>
  <w:style w:type="paragraph" w:customStyle="1" w:styleId="1">
    <w:name w:val="正文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F90139-0115-4E86-9CBA-4ED16AFF93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p:lastModifiedBy>
  <cp:revision>15</cp:revision>
  <dcterms:created xsi:type="dcterms:W3CDTF">2019-03-12T00:45:00Z</dcterms:created>
  <dcterms:modified xsi:type="dcterms:W3CDTF">2022-08-21T11:34:00Z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BA4FA39BAB244AE4AA7AA13F5352D906</vt:lpwstr>
  </property>
</Properties>
</file>