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sz w:val="44"/>
          <w:szCs w:val="44"/>
        </w:rPr>
      </w:pPr>
      <w:r>
        <w:rPr>
          <w:rFonts w:eastAsia="方正小标宋_GBK"/>
          <w:sz w:val="44"/>
          <w:szCs w:val="44"/>
        </w:rPr>
        <w:t>20</w:t>
      </w:r>
      <w:r>
        <w:rPr>
          <w:rFonts w:hint="eastAsia" w:eastAsia="方正小标宋_GBK"/>
          <w:sz w:val="44"/>
          <w:szCs w:val="44"/>
        </w:rPr>
        <w:t>2</w:t>
      </w:r>
      <w:r>
        <w:rPr>
          <w:rFonts w:hint="eastAsia" w:eastAsia="方正小标宋_GBK"/>
          <w:sz w:val="44"/>
          <w:szCs w:val="44"/>
          <w:lang w:val="en-US" w:eastAsia="zh-CN"/>
        </w:rPr>
        <w:t>2</w:t>
      </w:r>
      <w:r>
        <w:rPr>
          <w:rFonts w:eastAsia="方正小标宋_GBK"/>
          <w:sz w:val="44"/>
          <w:szCs w:val="44"/>
        </w:rPr>
        <w:t>年预算重要事项解释说明</w:t>
      </w:r>
    </w:p>
    <w:p>
      <w:pPr>
        <w:spacing w:line="600" w:lineRule="exact"/>
        <w:jc w:val="center"/>
        <w:rPr>
          <w:rFonts w:hint="eastAsia" w:ascii="黑体" w:hAnsi="黑体" w:eastAsia="黑体" w:cs="黑体"/>
          <w:sz w:val="44"/>
          <w:szCs w:val="44"/>
          <w:lang w:eastAsia="zh-CN"/>
        </w:rPr>
      </w:pPr>
    </w:p>
    <w:p>
      <w:pPr>
        <w:spacing w:line="600" w:lineRule="exact"/>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目录</w:t>
      </w:r>
    </w:p>
    <w:p>
      <w:pPr>
        <w:spacing w:line="600" w:lineRule="exact"/>
        <w:jc w:val="center"/>
        <w:rPr>
          <w:rFonts w:hint="eastAsia" w:ascii="黑体" w:hAnsi="黑体" w:eastAsia="黑体" w:cs="黑体"/>
          <w:sz w:val="32"/>
          <w:szCs w:val="32"/>
          <w:lang w:eastAsia="zh-CN"/>
        </w:rPr>
      </w:pPr>
    </w:p>
    <w:p>
      <w:pPr>
        <w:spacing w:line="60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w:t>
      </w:r>
      <w:r>
        <w:rPr>
          <w:rFonts w:hint="eastAsia" w:ascii="宋体" w:hAnsi="宋体" w:eastAsia="宋体" w:cs="宋体"/>
          <w:sz w:val="32"/>
          <w:szCs w:val="32"/>
        </w:rPr>
        <w:t>202</w:t>
      </w:r>
      <w:r>
        <w:rPr>
          <w:rFonts w:hint="eastAsia" w:ascii="宋体" w:hAnsi="宋体" w:eastAsia="宋体" w:cs="宋体"/>
          <w:sz w:val="32"/>
          <w:szCs w:val="32"/>
          <w:lang w:val="en-US" w:eastAsia="zh-CN"/>
        </w:rPr>
        <w:t>2</w:t>
      </w:r>
      <w:r>
        <w:rPr>
          <w:rFonts w:hint="eastAsia" w:ascii="宋体" w:hAnsi="宋体" w:eastAsia="宋体" w:cs="宋体"/>
          <w:sz w:val="32"/>
          <w:szCs w:val="32"/>
        </w:rPr>
        <w:t>年一般公共预算收入预算说明</w:t>
      </w:r>
    </w:p>
    <w:p>
      <w:pPr>
        <w:spacing w:line="600" w:lineRule="exact"/>
        <w:rPr>
          <w:rFonts w:hint="eastAsia" w:ascii="宋体" w:hAnsi="宋体" w:eastAsia="宋体" w:cs="宋体"/>
          <w:color w:val="000000"/>
          <w:sz w:val="32"/>
          <w:szCs w:val="32"/>
        </w:rPr>
      </w:pPr>
      <w:r>
        <w:rPr>
          <w:rFonts w:hint="eastAsia" w:ascii="宋体" w:hAnsi="宋体" w:eastAsia="宋体" w:cs="宋体"/>
          <w:sz w:val="32"/>
          <w:szCs w:val="32"/>
          <w:lang w:val="en-US" w:eastAsia="zh-CN"/>
        </w:rPr>
        <w:t>二、</w:t>
      </w: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2</w:t>
      </w:r>
      <w:r>
        <w:rPr>
          <w:rFonts w:hint="eastAsia" w:ascii="宋体" w:hAnsi="宋体" w:eastAsia="宋体" w:cs="宋体"/>
          <w:color w:val="000000"/>
          <w:sz w:val="32"/>
          <w:szCs w:val="32"/>
        </w:rPr>
        <w:t>年一般公共预算支出预算说明</w:t>
      </w:r>
    </w:p>
    <w:p>
      <w:pPr>
        <w:spacing w:line="600" w:lineRule="exact"/>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eastAsia="zh-CN"/>
        </w:rPr>
        <w:t>三、</w:t>
      </w: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2</w:t>
      </w:r>
      <w:r>
        <w:rPr>
          <w:rFonts w:hint="eastAsia" w:ascii="宋体" w:hAnsi="宋体" w:eastAsia="宋体" w:cs="宋体"/>
          <w:color w:val="000000"/>
          <w:sz w:val="32"/>
          <w:szCs w:val="32"/>
        </w:rPr>
        <w:t>年税收返还和转移支付预算说明</w:t>
      </w:r>
    </w:p>
    <w:p>
      <w:pPr>
        <w:spacing w:line="600" w:lineRule="exact"/>
        <w:rPr>
          <w:rFonts w:hint="eastAsia" w:ascii="宋体" w:hAnsi="宋体" w:eastAsia="宋体" w:cs="宋体"/>
          <w:color w:val="000000"/>
          <w:sz w:val="32"/>
          <w:szCs w:val="32"/>
        </w:rPr>
      </w:pPr>
      <w:r>
        <w:rPr>
          <w:rFonts w:hint="eastAsia" w:ascii="宋体" w:hAnsi="宋体" w:eastAsia="宋体" w:cs="宋体"/>
          <w:color w:val="000000"/>
          <w:sz w:val="32"/>
          <w:szCs w:val="32"/>
          <w:lang w:eastAsia="zh-CN"/>
        </w:rPr>
        <w:t>四</w:t>
      </w: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2</w:t>
      </w:r>
      <w:r>
        <w:rPr>
          <w:rFonts w:hint="eastAsia" w:ascii="宋体" w:hAnsi="宋体" w:eastAsia="宋体" w:cs="宋体"/>
          <w:color w:val="000000"/>
          <w:sz w:val="32"/>
          <w:szCs w:val="32"/>
        </w:rPr>
        <w:t>年政府性基金预算说明</w:t>
      </w:r>
    </w:p>
    <w:p>
      <w:pPr>
        <w:spacing w:line="600" w:lineRule="exact"/>
        <w:rPr>
          <w:rFonts w:hint="eastAsia" w:ascii="宋体" w:hAnsi="宋体" w:eastAsia="宋体" w:cs="宋体"/>
          <w:color w:val="000000"/>
          <w:sz w:val="32"/>
          <w:szCs w:val="32"/>
        </w:rPr>
      </w:pPr>
      <w:r>
        <w:rPr>
          <w:rFonts w:hint="eastAsia" w:ascii="宋体" w:hAnsi="宋体" w:eastAsia="宋体" w:cs="宋体"/>
          <w:color w:val="000000"/>
          <w:sz w:val="32"/>
          <w:szCs w:val="32"/>
          <w:lang w:eastAsia="zh-CN"/>
        </w:rPr>
        <w:t>五</w:t>
      </w: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2</w:t>
      </w:r>
      <w:r>
        <w:rPr>
          <w:rFonts w:hint="eastAsia" w:ascii="宋体" w:hAnsi="宋体" w:eastAsia="宋体" w:cs="宋体"/>
          <w:color w:val="000000"/>
          <w:sz w:val="32"/>
          <w:szCs w:val="32"/>
        </w:rPr>
        <w:t>年国有资本经营预算的说明</w:t>
      </w:r>
    </w:p>
    <w:p>
      <w:pPr>
        <w:spacing w:line="600" w:lineRule="exact"/>
        <w:rPr>
          <w:rFonts w:hint="eastAsia" w:ascii="宋体" w:hAnsi="宋体" w:eastAsia="宋体" w:cs="宋体"/>
          <w:color w:val="000000"/>
          <w:sz w:val="32"/>
          <w:szCs w:val="32"/>
        </w:rPr>
      </w:pPr>
      <w:r>
        <w:rPr>
          <w:rFonts w:hint="eastAsia" w:ascii="宋体" w:hAnsi="宋体" w:eastAsia="宋体" w:cs="宋体"/>
          <w:color w:val="000000"/>
          <w:sz w:val="32"/>
          <w:szCs w:val="32"/>
        </w:rPr>
        <w:t>六、202</w:t>
      </w:r>
      <w:r>
        <w:rPr>
          <w:rFonts w:hint="eastAsia" w:ascii="宋体" w:hAnsi="宋体" w:eastAsia="宋体" w:cs="宋体"/>
          <w:color w:val="000000"/>
          <w:sz w:val="32"/>
          <w:szCs w:val="32"/>
          <w:lang w:val="en-US" w:eastAsia="zh-CN"/>
        </w:rPr>
        <w:t>2</w:t>
      </w:r>
      <w:r>
        <w:rPr>
          <w:rFonts w:hint="eastAsia" w:ascii="宋体" w:hAnsi="宋体" w:eastAsia="宋体" w:cs="宋体"/>
          <w:color w:val="000000"/>
          <w:sz w:val="32"/>
          <w:szCs w:val="32"/>
        </w:rPr>
        <w:t>年社会保险基金预算的说明</w:t>
      </w:r>
    </w:p>
    <w:p>
      <w:pPr>
        <w:spacing w:line="600" w:lineRule="exact"/>
        <w:rPr>
          <w:rFonts w:hint="eastAsia" w:ascii="宋体" w:hAnsi="宋体" w:eastAsia="宋体" w:cs="宋体"/>
          <w:color w:val="000000"/>
          <w:sz w:val="32"/>
          <w:szCs w:val="32"/>
        </w:rPr>
      </w:pPr>
      <w:r>
        <w:rPr>
          <w:rFonts w:hint="eastAsia" w:ascii="宋体" w:hAnsi="宋体" w:cs="宋体"/>
          <w:color w:val="000000"/>
          <w:sz w:val="32"/>
          <w:szCs w:val="32"/>
          <w:lang w:eastAsia="zh-CN"/>
        </w:rPr>
        <w:t>七</w:t>
      </w:r>
      <w:r>
        <w:rPr>
          <w:rFonts w:hint="eastAsia" w:ascii="宋体" w:hAnsi="宋体" w:eastAsia="宋体" w:cs="宋体"/>
          <w:color w:val="000000"/>
          <w:sz w:val="32"/>
          <w:szCs w:val="32"/>
        </w:rPr>
        <w:t>、举借政府债务情况</w:t>
      </w:r>
    </w:p>
    <w:p>
      <w:pPr>
        <w:rPr>
          <w:rFonts w:hint="eastAsia" w:ascii="宋体" w:hAnsi="宋体" w:eastAsia="宋体" w:cs="宋体"/>
          <w:color w:val="000000"/>
          <w:sz w:val="32"/>
          <w:szCs w:val="32"/>
        </w:rPr>
      </w:pPr>
      <w:r>
        <w:rPr>
          <w:rFonts w:hint="eastAsia" w:ascii="宋体" w:hAnsi="宋体" w:cs="宋体"/>
          <w:color w:val="000000"/>
          <w:sz w:val="32"/>
          <w:szCs w:val="32"/>
          <w:lang w:eastAsia="zh-CN"/>
        </w:rPr>
        <w:t>八</w:t>
      </w:r>
      <w:r>
        <w:rPr>
          <w:rFonts w:hint="eastAsia" w:ascii="宋体" w:hAnsi="宋体" w:eastAsia="宋体" w:cs="宋体"/>
          <w:color w:val="000000"/>
          <w:sz w:val="32"/>
          <w:szCs w:val="32"/>
        </w:rPr>
        <w:t>、预算绩效管理工作开展情况</w:t>
      </w:r>
    </w:p>
    <w:p>
      <w:pPr>
        <w:spacing w:line="600" w:lineRule="exact"/>
        <w:rPr>
          <w:rFonts w:hint="eastAsia" w:ascii="宋体" w:hAnsi="宋体" w:eastAsia="宋体" w:cs="宋体"/>
          <w:color w:val="000000"/>
          <w:sz w:val="32"/>
          <w:szCs w:val="32"/>
        </w:rPr>
      </w:pPr>
      <w:r>
        <w:rPr>
          <w:rFonts w:hint="eastAsia" w:ascii="宋体" w:hAnsi="宋体" w:cs="宋体"/>
          <w:sz w:val="32"/>
          <w:szCs w:val="32"/>
          <w:lang w:eastAsia="zh-CN"/>
        </w:rPr>
        <w:t>九</w:t>
      </w:r>
      <w:r>
        <w:rPr>
          <w:rFonts w:hint="eastAsia" w:ascii="宋体" w:hAnsi="宋体" w:eastAsia="宋体" w:cs="宋体"/>
          <w:sz w:val="32"/>
          <w:szCs w:val="32"/>
        </w:rPr>
        <w:t>、</w:t>
      </w:r>
      <w:r>
        <w:rPr>
          <w:rFonts w:hint="eastAsia" w:ascii="宋体" w:hAnsi="宋体" w:cs="宋体"/>
          <w:sz w:val="32"/>
          <w:szCs w:val="32"/>
          <w:lang w:val="en-US" w:eastAsia="zh-CN"/>
        </w:rPr>
        <w:t>统筹整合使用财政涉农资金</w:t>
      </w:r>
      <w:r>
        <w:rPr>
          <w:rFonts w:hint="eastAsia" w:ascii="宋体" w:hAnsi="宋体" w:eastAsia="宋体" w:cs="宋体"/>
          <w:sz w:val="32"/>
          <w:szCs w:val="32"/>
          <w:lang w:eastAsia="zh-CN"/>
        </w:rPr>
        <w:t>投入情况</w:t>
      </w:r>
    </w:p>
    <w:p>
      <w:pPr>
        <w:numPr>
          <w:ilvl w:val="0"/>
          <w:numId w:val="0"/>
        </w:numPr>
        <w:spacing w:line="60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十、“三公”经费预算安排说明</w:t>
      </w:r>
    </w:p>
    <w:p>
      <w:pPr>
        <w:numPr>
          <w:ilvl w:val="0"/>
          <w:numId w:val="0"/>
        </w:numPr>
        <w:spacing w:line="600" w:lineRule="exact"/>
        <w:rPr>
          <w:rFonts w:hint="eastAsia" w:ascii="宋体" w:hAnsi="宋体" w:eastAsia="宋体" w:cs="宋体"/>
          <w:sz w:val="32"/>
          <w:szCs w:val="32"/>
          <w:lang w:val="en-US" w:eastAsia="zh-CN"/>
        </w:rPr>
      </w:pPr>
      <w:r>
        <w:rPr>
          <w:rFonts w:hint="eastAsia" w:ascii="宋体" w:hAnsi="宋体" w:cs="宋体"/>
          <w:sz w:val="32"/>
          <w:szCs w:val="32"/>
          <w:lang w:val="en-US" w:eastAsia="zh-CN"/>
        </w:rPr>
        <w:t>十一、名词解释</w:t>
      </w:r>
    </w:p>
    <w:p>
      <w:pPr>
        <w:spacing w:line="600" w:lineRule="exact"/>
        <w:rPr>
          <w:rFonts w:hint="default"/>
          <w:sz w:val="32"/>
          <w:szCs w:val="32"/>
          <w:lang w:val="en-US" w:eastAsia="zh-CN"/>
        </w:rPr>
      </w:pPr>
    </w:p>
    <w:p>
      <w:pPr>
        <w:spacing w:line="600" w:lineRule="exact"/>
        <w:rPr>
          <w:rFonts w:hint="default"/>
          <w:sz w:val="32"/>
          <w:szCs w:val="32"/>
          <w:lang w:val="en-US" w:eastAsia="zh-CN"/>
        </w:rPr>
      </w:pPr>
    </w:p>
    <w:p>
      <w:pPr>
        <w:spacing w:line="600" w:lineRule="exact"/>
        <w:rPr>
          <w:rFonts w:hint="default"/>
          <w:sz w:val="32"/>
          <w:szCs w:val="32"/>
          <w:lang w:val="en-US" w:eastAsia="zh-CN"/>
        </w:rPr>
      </w:pPr>
    </w:p>
    <w:p>
      <w:pPr>
        <w:spacing w:line="600" w:lineRule="exact"/>
        <w:rPr>
          <w:rFonts w:hint="default"/>
          <w:sz w:val="32"/>
          <w:szCs w:val="32"/>
          <w:lang w:val="en-US" w:eastAsia="zh-CN"/>
        </w:rPr>
      </w:pPr>
    </w:p>
    <w:p>
      <w:pPr>
        <w:spacing w:line="600" w:lineRule="exact"/>
        <w:rPr>
          <w:rFonts w:hint="default"/>
          <w:sz w:val="32"/>
          <w:szCs w:val="32"/>
          <w:lang w:val="en-US" w:eastAsia="zh-CN"/>
        </w:rPr>
      </w:pPr>
    </w:p>
    <w:p>
      <w:pPr>
        <w:spacing w:line="600" w:lineRule="exact"/>
        <w:rPr>
          <w:rFonts w:hint="default"/>
          <w:sz w:val="32"/>
          <w:szCs w:val="32"/>
          <w:lang w:val="en-US" w:eastAsia="zh-CN"/>
        </w:rPr>
      </w:pPr>
    </w:p>
    <w:p>
      <w:pPr>
        <w:spacing w:line="600" w:lineRule="exact"/>
        <w:rPr>
          <w:rFonts w:hint="default"/>
          <w:sz w:val="32"/>
          <w:szCs w:val="32"/>
          <w:lang w:val="en-US" w:eastAsia="zh-CN"/>
        </w:rPr>
      </w:pPr>
    </w:p>
    <w:p>
      <w:pPr>
        <w:spacing w:line="600" w:lineRule="exact"/>
        <w:rPr>
          <w:rFonts w:hint="default"/>
          <w:sz w:val="32"/>
          <w:szCs w:val="32"/>
          <w:lang w:val="en-US" w:eastAsia="zh-CN"/>
        </w:rPr>
      </w:pPr>
    </w:p>
    <w:p>
      <w:pPr>
        <w:spacing w:line="600" w:lineRule="exact"/>
        <w:jc w:val="center"/>
        <w:rPr>
          <w:rFonts w:eastAsia="方正小标宋_GBK"/>
          <w:sz w:val="44"/>
          <w:szCs w:val="44"/>
        </w:rPr>
      </w:pPr>
      <w:r>
        <w:rPr>
          <w:rFonts w:eastAsia="方正小标宋_GBK"/>
          <w:sz w:val="44"/>
          <w:szCs w:val="44"/>
        </w:rPr>
        <w:t>20</w:t>
      </w:r>
      <w:r>
        <w:rPr>
          <w:rFonts w:hint="eastAsia" w:eastAsia="方正小标宋_GBK"/>
          <w:sz w:val="44"/>
          <w:szCs w:val="44"/>
        </w:rPr>
        <w:t>2</w:t>
      </w:r>
      <w:r>
        <w:rPr>
          <w:rFonts w:hint="eastAsia" w:eastAsia="方正小标宋_GBK"/>
          <w:sz w:val="44"/>
          <w:szCs w:val="44"/>
          <w:lang w:val="en-US" w:eastAsia="zh-CN"/>
        </w:rPr>
        <w:t>2</w:t>
      </w:r>
      <w:r>
        <w:rPr>
          <w:rFonts w:eastAsia="方正小标宋_GBK"/>
          <w:sz w:val="44"/>
          <w:szCs w:val="44"/>
        </w:rPr>
        <w:t>年预算重要事项解释说明</w:t>
      </w:r>
    </w:p>
    <w:p>
      <w:pPr>
        <w:spacing w:line="600" w:lineRule="exact"/>
        <w:rPr>
          <w:sz w:val="32"/>
          <w:szCs w:val="32"/>
        </w:rPr>
      </w:pPr>
    </w:p>
    <w:p>
      <w:pPr>
        <w:spacing w:line="600" w:lineRule="exact"/>
        <w:ind w:firstLine="640" w:firstLineChars="200"/>
        <w:rPr>
          <w:rFonts w:eastAsia="黑体"/>
          <w:sz w:val="32"/>
          <w:szCs w:val="32"/>
        </w:rPr>
      </w:pPr>
      <w:r>
        <w:rPr>
          <w:rFonts w:eastAsia="黑体"/>
          <w:sz w:val="32"/>
          <w:szCs w:val="32"/>
        </w:rPr>
        <w:t>一、20</w:t>
      </w:r>
      <w:r>
        <w:rPr>
          <w:rFonts w:hint="eastAsia" w:eastAsia="黑体"/>
          <w:sz w:val="32"/>
          <w:szCs w:val="32"/>
        </w:rPr>
        <w:t>2</w:t>
      </w:r>
      <w:r>
        <w:rPr>
          <w:rFonts w:hint="eastAsia" w:eastAsia="黑体"/>
          <w:sz w:val="32"/>
          <w:szCs w:val="32"/>
          <w:lang w:val="en-US" w:eastAsia="zh-CN"/>
        </w:rPr>
        <w:t>2</w:t>
      </w:r>
      <w:r>
        <w:rPr>
          <w:rFonts w:eastAsia="黑体"/>
          <w:sz w:val="32"/>
          <w:szCs w:val="32"/>
        </w:rPr>
        <w:t>年一般公共预算收入预算说明</w:t>
      </w:r>
    </w:p>
    <w:p>
      <w:pPr>
        <w:spacing w:line="600" w:lineRule="exact"/>
        <w:ind w:firstLine="640" w:firstLineChars="200"/>
        <w:rPr>
          <w:rFonts w:eastAsia="仿宋_GB2312"/>
          <w:color w:val="000000"/>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年一般公共预算地方收入按增长</w:t>
      </w:r>
      <w:r>
        <w:rPr>
          <w:rFonts w:hint="eastAsia" w:ascii="仿宋" w:hAnsi="仿宋" w:eastAsia="仿宋" w:cs="仿宋"/>
          <w:sz w:val="32"/>
          <w:szCs w:val="32"/>
          <w:lang w:val="en-US" w:eastAsia="zh-CN"/>
        </w:rPr>
        <w:t>8</w:t>
      </w:r>
      <w:r>
        <w:rPr>
          <w:rFonts w:hint="eastAsia" w:ascii="仿宋" w:hAnsi="仿宋" w:eastAsia="仿宋" w:cs="仿宋"/>
          <w:sz w:val="32"/>
          <w:szCs w:val="32"/>
        </w:rPr>
        <w:t>%左右安排。据此，一般公共预算地方收入</w:t>
      </w:r>
      <w:r>
        <w:rPr>
          <w:rFonts w:hint="eastAsia" w:ascii="仿宋" w:hAnsi="仿宋" w:eastAsia="仿宋" w:cs="仿宋"/>
          <w:sz w:val="32"/>
          <w:szCs w:val="32"/>
          <w:lang w:val="en-US" w:eastAsia="zh-CN"/>
        </w:rPr>
        <w:t>23160万</w:t>
      </w:r>
      <w:r>
        <w:rPr>
          <w:rFonts w:hint="eastAsia" w:ascii="仿宋" w:hAnsi="仿宋" w:eastAsia="仿宋" w:cs="仿宋"/>
          <w:sz w:val="32"/>
          <w:szCs w:val="32"/>
        </w:rPr>
        <w:t>元，加上</w:t>
      </w:r>
      <w:r>
        <w:rPr>
          <w:rFonts w:hint="eastAsia" w:ascii="仿宋" w:hAnsi="仿宋" w:eastAsia="仿宋" w:cs="仿宋"/>
          <w:sz w:val="32"/>
          <w:szCs w:val="32"/>
          <w:lang w:eastAsia="zh-CN"/>
        </w:rPr>
        <w:t>上级</w:t>
      </w:r>
      <w:r>
        <w:rPr>
          <w:rFonts w:hint="eastAsia" w:ascii="仿宋" w:hAnsi="仿宋" w:eastAsia="仿宋" w:cs="仿宋"/>
          <w:sz w:val="32"/>
          <w:szCs w:val="32"/>
        </w:rPr>
        <w:t>补助</w:t>
      </w:r>
      <w:r>
        <w:rPr>
          <w:rFonts w:hint="eastAsia" w:ascii="仿宋" w:hAnsi="仿宋" w:eastAsia="仿宋" w:cs="仿宋"/>
          <w:sz w:val="32"/>
          <w:szCs w:val="32"/>
          <w:lang w:val="en-US" w:eastAsia="zh-CN"/>
        </w:rPr>
        <w:t>198216万</w:t>
      </w:r>
      <w:r>
        <w:rPr>
          <w:rFonts w:hint="eastAsia" w:ascii="仿宋" w:hAnsi="仿宋" w:eastAsia="仿宋" w:cs="仿宋"/>
          <w:sz w:val="32"/>
          <w:szCs w:val="32"/>
        </w:rPr>
        <w:t>元，从</w:t>
      </w:r>
      <w:r>
        <w:rPr>
          <w:rFonts w:hint="eastAsia" w:ascii="仿宋" w:hAnsi="仿宋" w:eastAsia="仿宋" w:cs="仿宋"/>
          <w:sz w:val="32"/>
          <w:szCs w:val="32"/>
          <w:lang w:eastAsia="zh-CN"/>
        </w:rPr>
        <w:t>政府性基金</w:t>
      </w:r>
      <w:r>
        <w:rPr>
          <w:rFonts w:hint="eastAsia" w:ascii="仿宋" w:hAnsi="仿宋" w:eastAsia="仿宋" w:cs="仿宋"/>
          <w:sz w:val="32"/>
          <w:szCs w:val="32"/>
        </w:rPr>
        <w:t>预算调入</w:t>
      </w:r>
      <w:r>
        <w:rPr>
          <w:rFonts w:hint="eastAsia" w:ascii="仿宋" w:hAnsi="仿宋" w:eastAsia="仿宋" w:cs="仿宋"/>
          <w:sz w:val="32"/>
          <w:szCs w:val="32"/>
          <w:lang w:val="en-US" w:eastAsia="zh-CN"/>
        </w:rPr>
        <w:t>13000万</w:t>
      </w:r>
      <w:r>
        <w:rPr>
          <w:rFonts w:hint="eastAsia" w:ascii="仿宋" w:hAnsi="仿宋" w:eastAsia="仿宋" w:cs="仿宋"/>
          <w:sz w:val="32"/>
          <w:szCs w:val="32"/>
        </w:rPr>
        <w:t>元，从国有资本经营预算调入</w:t>
      </w:r>
      <w:r>
        <w:rPr>
          <w:rFonts w:hint="eastAsia" w:ascii="仿宋" w:hAnsi="仿宋" w:eastAsia="仿宋" w:cs="仿宋"/>
          <w:sz w:val="32"/>
          <w:szCs w:val="32"/>
          <w:lang w:val="en-US" w:eastAsia="zh-CN"/>
        </w:rPr>
        <w:t>20700万</w:t>
      </w:r>
      <w:r>
        <w:rPr>
          <w:rFonts w:hint="eastAsia" w:ascii="仿宋" w:hAnsi="仿宋" w:eastAsia="仿宋" w:cs="仿宋"/>
          <w:sz w:val="32"/>
          <w:szCs w:val="32"/>
        </w:rPr>
        <w:t>元，收入合计</w:t>
      </w:r>
      <w:r>
        <w:rPr>
          <w:rFonts w:hint="eastAsia" w:ascii="仿宋" w:hAnsi="仿宋" w:eastAsia="仿宋" w:cs="仿宋"/>
          <w:sz w:val="32"/>
          <w:szCs w:val="32"/>
          <w:lang w:val="en-US" w:eastAsia="zh-CN"/>
        </w:rPr>
        <w:t>255076万</w:t>
      </w:r>
      <w:r>
        <w:rPr>
          <w:rFonts w:hint="eastAsia" w:ascii="仿宋" w:hAnsi="仿宋" w:eastAsia="仿宋" w:cs="仿宋"/>
          <w:sz w:val="32"/>
          <w:szCs w:val="32"/>
        </w:rPr>
        <w:t>元。</w:t>
      </w:r>
      <w:r>
        <w:rPr>
          <w:rFonts w:hint="eastAsia" w:ascii="仿宋" w:hAnsi="仿宋" w:eastAsia="仿宋" w:cs="仿宋"/>
          <w:color w:val="000000"/>
          <w:sz w:val="32"/>
          <w:szCs w:val="32"/>
        </w:rPr>
        <w:t>相关收入项目情况如下：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1.202</w:t>
      </w:r>
      <w:r>
        <w:rPr>
          <w:rFonts w:hint="eastAsia" w:ascii="仿宋" w:hAnsi="仿宋" w:eastAsia="仿宋" w:cs="仿宋"/>
          <w:sz w:val="32"/>
          <w:szCs w:val="32"/>
          <w:lang w:val="en-US" w:eastAsia="zh-CN"/>
        </w:rPr>
        <w:t>2</w:t>
      </w:r>
      <w:r>
        <w:rPr>
          <w:rFonts w:hint="eastAsia" w:ascii="仿宋" w:hAnsi="仿宋" w:eastAsia="仿宋" w:cs="仿宋"/>
          <w:sz w:val="32"/>
          <w:szCs w:val="32"/>
        </w:rPr>
        <w:t>年地方税收收入预计完成</w:t>
      </w:r>
      <w:r>
        <w:rPr>
          <w:rFonts w:hint="eastAsia" w:ascii="仿宋" w:hAnsi="仿宋" w:eastAsia="仿宋" w:cs="仿宋"/>
          <w:sz w:val="32"/>
          <w:szCs w:val="32"/>
          <w:lang w:val="en-US" w:eastAsia="zh-CN"/>
        </w:rPr>
        <w:t>16256万</w:t>
      </w:r>
      <w:r>
        <w:rPr>
          <w:rFonts w:hint="eastAsia" w:ascii="仿宋" w:hAnsi="仿宋" w:eastAsia="仿宋" w:cs="仿宋"/>
          <w:sz w:val="32"/>
          <w:szCs w:val="32"/>
        </w:rPr>
        <w:t>元，同比增长</w:t>
      </w:r>
      <w:r>
        <w:rPr>
          <w:rFonts w:hint="eastAsia" w:ascii="仿宋" w:hAnsi="仿宋" w:eastAsia="仿宋" w:cs="仿宋"/>
          <w:sz w:val="32"/>
          <w:szCs w:val="32"/>
          <w:lang w:val="en-US" w:eastAsia="zh-CN"/>
        </w:rPr>
        <w:t>8</w:t>
      </w:r>
      <w:r>
        <w:rPr>
          <w:rFonts w:hint="eastAsia" w:ascii="仿宋" w:hAnsi="仿宋" w:eastAsia="仿宋" w:cs="仿宋"/>
          <w:sz w:val="32"/>
          <w:szCs w:val="32"/>
        </w:rPr>
        <w:t>%；</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2.202</w:t>
      </w:r>
      <w:r>
        <w:rPr>
          <w:rFonts w:hint="eastAsia" w:ascii="仿宋" w:hAnsi="仿宋" w:eastAsia="仿宋" w:cs="仿宋"/>
          <w:sz w:val="32"/>
          <w:szCs w:val="32"/>
          <w:lang w:val="en-US" w:eastAsia="zh-CN"/>
        </w:rPr>
        <w:t>2</w:t>
      </w:r>
      <w:r>
        <w:rPr>
          <w:rFonts w:hint="eastAsia" w:ascii="仿宋" w:hAnsi="仿宋" w:eastAsia="仿宋" w:cs="仿宋"/>
          <w:sz w:val="32"/>
          <w:szCs w:val="32"/>
        </w:rPr>
        <w:t>年非税收入</w:t>
      </w:r>
      <w:r>
        <w:rPr>
          <w:rFonts w:hint="eastAsia" w:ascii="仿宋" w:hAnsi="仿宋" w:eastAsia="仿宋" w:cs="仿宋"/>
          <w:sz w:val="32"/>
          <w:szCs w:val="32"/>
          <w:lang w:eastAsia="zh-CN"/>
        </w:rPr>
        <w:t>预计</w:t>
      </w:r>
      <w:r>
        <w:rPr>
          <w:rFonts w:hint="eastAsia" w:ascii="仿宋" w:hAnsi="仿宋" w:eastAsia="仿宋" w:cs="仿宋"/>
          <w:sz w:val="32"/>
          <w:szCs w:val="32"/>
        </w:rPr>
        <w:t>完成</w:t>
      </w:r>
      <w:r>
        <w:rPr>
          <w:rFonts w:hint="eastAsia" w:ascii="仿宋" w:hAnsi="仿宋" w:eastAsia="仿宋" w:cs="仿宋"/>
          <w:sz w:val="32"/>
          <w:szCs w:val="32"/>
          <w:lang w:val="en-US" w:eastAsia="zh-CN"/>
        </w:rPr>
        <w:t>6904万</w:t>
      </w:r>
      <w:r>
        <w:rPr>
          <w:rFonts w:hint="eastAsia" w:ascii="仿宋" w:hAnsi="仿宋" w:eastAsia="仿宋" w:cs="仿宋"/>
          <w:sz w:val="32"/>
          <w:szCs w:val="32"/>
        </w:rPr>
        <w:t>元，同比增长</w:t>
      </w:r>
      <w:r>
        <w:rPr>
          <w:rFonts w:hint="eastAsia" w:ascii="仿宋" w:hAnsi="仿宋" w:eastAsia="仿宋" w:cs="仿宋"/>
          <w:sz w:val="32"/>
          <w:szCs w:val="32"/>
          <w:lang w:val="en-US" w:eastAsia="zh-CN"/>
        </w:rPr>
        <w:t>8</w:t>
      </w:r>
      <w:r>
        <w:rPr>
          <w:rFonts w:hint="eastAsia" w:ascii="仿宋" w:hAnsi="仿宋" w:eastAsia="仿宋" w:cs="仿宋"/>
          <w:sz w:val="32"/>
          <w:szCs w:val="32"/>
        </w:rPr>
        <w:t>%。</w:t>
      </w:r>
    </w:p>
    <w:p>
      <w:pPr>
        <w:spacing w:line="600" w:lineRule="exact"/>
        <w:ind w:firstLine="640" w:firstLineChars="200"/>
        <w:rPr>
          <w:rFonts w:eastAsia="黑体"/>
          <w:color w:val="000000"/>
          <w:sz w:val="32"/>
          <w:szCs w:val="32"/>
        </w:rPr>
      </w:pPr>
      <w:r>
        <w:rPr>
          <w:rFonts w:eastAsia="黑体"/>
          <w:color w:val="000000"/>
          <w:sz w:val="32"/>
          <w:szCs w:val="32"/>
        </w:rPr>
        <w:t>二、20</w:t>
      </w:r>
      <w:r>
        <w:rPr>
          <w:rFonts w:hint="eastAsia" w:eastAsia="黑体"/>
          <w:color w:val="000000"/>
          <w:sz w:val="32"/>
          <w:szCs w:val="32"/>
        </w:rPr>
        <w:t>2</w:t>
      </w:r>
      <w:r>
        <w:rPr>
          <w:rFonts w:hint="eastAsia" w:eastAsia="黑体"/>
          <w:color w:val="000000"/>
          <w:sz w:val="32"/>
          <w:szCs w:val="32"/>
          <w:lang w:val="en-US" w:eastAsia="zh-CN"/>
        </w:rPr>
        <w:t>2</w:t>
      </w:r>
      <w:r>
        <w:rPr>
          <w:rFonts w:eastAsia="黑体"/>
          <w:color w:val="000000"/>
          <w:sz w:val="32"/>
          <w:szCs w:val="32"/>
        </w:rPr>
        <w:t>年一般公共预算支出预算说明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一般公共预算</w:t>
      </w:r>
      <w:r>
        <w:rPr>
          <w:rFonts w:hint="eastAsia" w:ascii="仿宋" w:hAnsi="仿宋" w:eastAsia="仿宋" w:cs="仿宋"/>
          <w:sz w:val="32"/>
          <w:szCs w:val="32"/>
        </w:rPr>
        <w:t>支出安排</w:t>
      </w:r>
      <w:r>
        <w:rPr>
          <w:rFonts w:hint="eastAsia" w:ascii="仿宋" w:hAnsi="仿宋" w:eastAsia="仿宋" w:cs="仿宋"/>
          <w:sz w:val="32"/>
          <w:szCs w:val="32"/>
          <w:lang w:val="en-US" w:eastAsia="zh-CN"/>
        </w:rPr>
        <w:t>251063万</w:t>
      </w:r>
      <w:r>
        <w:rPr>
          <w:rFonts w:hint="eastAsia" w:ascii="仿宋" w:hAnsi="仿宋" w:eastAsia="仿宋" w:cs="仿宋"/>
          <w:sz w:val="32"/>
          <w:szCs w:val="32"/>
        </w:rPr>
        <w:t>元，加上上解</w:t>
      </w:r>
      <w:r>
        <w:rPr>
          <w:rFonts w:hint="eastAsia" w:ascii="仿宋" w:hAnsi="仿宋" w:eastAsia="仿宋" w:cs="仿宋"/>
          <w:sz w:val="32"/>
          <w:szCs w:val="32"/>
          <w:lang w:eastAsia="zh-CN"/>
        </w:rPr>
        <w:t>上级</w:t>
      </w:r>
      <w:r>
        <w:rPr>
          <w:rFonts w:hint="eastAsia" w:ascii="仿宋" w:hAnsi="仿宋" w:eastAsia="仿宋" w:cs="仿宋"/>
          <w:sz w:val="32"/>
          <w:szCs w:val="32"/>
          <w:lang w:val="en-US" w:eastAsia="zh-CN"/>
        </w:rPr>
        <w:t>3649万元</w:t>
      </w:r>
      <w:r>
        <w:rPr>
          <w:rFonts w:hint="eastAsia" w:ascii="仿宋" w:hAnsi="仿宋" w:eastAsia="仿宋" w:cs="仿宋"/>
          <w:sz w:val="32"/>
          <w:szCs w:val="32"/>
        </w:rPr>
        <w:t>元，</w:t>
      </w:r>
      <w:r>
        <w:rPr>
          <w:rFonts w:hint="eastAsia" w:ascii="仿宋" w:hAnsi="仿宋" w:eastAsia="仿宋" w:cs="仿宋"/>
          <w:sz w:val="32"/>
          <w:szCs w:val="32"/>
          <w:lang w:eastAsia="zh-CN"/>
        </w:rPr>
        <w:t>结转下年</w:t>
      </w:r>
      <w:r>
        <w:rPr>
          <w:rFonts w:hint="eastAsia" w:ascii="仿宋" w:hAnsi="仿宋" w:eastAsia="仿宋" w:cs="仿宋"/>
          <w:sz w:val="32"/>
          <w:szCs w:val="32"/>
          <w:lang w:val="en-US" w:eastAsia="zh-CN"/>
        </w:rPr>
        <w:t>364万元</w:t>
      </w:r>
      <w:r>
        <w:rPr>
          <w:rFonts w:hint="eastAsia" w:ascii="仿宋" w:hAnsi="仿宋" w:eastAsia="仿宋" w:cs="仿宋"/>
          <w:sz w:val="32"/>
          <w:szCs w:val="32"/>
        </w:rPr>
        <w:t>，支出合计</w:t>
      </w:r>
      <w:r>
        <w:rPr>
          <w:rFonts w:hint="eastAsia" w:ascii="仿宋" w:hAnsi="仿宋" w:eastAsia="仿宋" w:cs="仿宋"/>
          <w:sz w:val="32"/>
          <w:szCs w:val="32"/>
          <w:lang w:val="en-US" w:eastAsia="zh-CN"/>
        </w:rPr>
        <w:t>255076万</w:t>
      </w:r>
      <w:r>
        <w:rPr>
          <w:rFonts w:hint="eastAsia" w:ascii="仿宋" w:hAnsi="仿宋" w:eastAsia="仿宋" w:cs="仿宋"/>
          <w:sz w:val="32"/>
          <w:szCs w:val="32"/>
        </w:rPr>
        <w:t>元。</w:t>
      </w:r>
    </w:p>
    <w:p>
      <w:pPr>
        <w:spacing w:line="600" w:lineRule="exact"/>
        <w:ind w:firstLine="640" w:firstLineChars="200"/>
        <w:rPr>
          <w:rFonts w:eastAsia="黑体"/>
          <w:color w:val="000000"/>
          <w:sz w:val="32"/>
          <w:szCs w:val="32"/>
        </w:rPr>
      </w:pPr>
      <w:r>
        <w:rPr>
          <w:rFonts w:hint="eastAsia" w:eastAsia="黑体"/>
          <w:color w:val="000000"/>
          <w:sz w:val="32"/>
          <w:szCs w:val="32"/>
          <w:lang w:eastAsia="zh-CN"/>
        </w:rPr>
        <w:t>三</w:t>
      </w:r>
      <w:r>
        <w:rPr>
          <w:rFonts w:eastAsia="黑体"/>
          <w:color w:val="000000"/>
          <w:sz w:val="32"/>
          <w:szCs w:val="32"/>
        </w:rPr>
        <w:t>、20</w:t>
      </w:r>
      <w:r>
        <w:rPr>
          <w:rFonts w:hint="eastAsia" w:eastAsia="黑体"/>
          <w:color w:val="000000"/>
          <w:sz w:val="32"/>
          <w:szCs w:val="32"/>
        </w:rPr>
        <w:t>2</w:t>
      </w:r>
      <w:r>
        <w:rPr>
          <w:rFonts w:hint="eastAsia" w:eastAsia="黑体"/>
          <w:color w:val="000000"/>
          <w:sz w:val="32"/>
          <w:szCs w:val="32"/>
          <w:lang w:val="en-US" w:eastAsia="zh-CN"/>
        </w:rPr>
        <w:t>2</w:t>
      </w:r>
      <w:r>
        <w:rPr>
          <w:rFonts w:eastAsia="黑体"/>
          <w:color w:val="000000"/>
          <w:sz w:val="32"/>
          <w:szCs w:val="32"/>
        </w:rPr>
        <w:t>年税收返还和转移支付预算说明</w:t>
      </w:r>
    </w:p>
    <w:p>
      <w:pPr>
        <w:spacing w:line="60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由于我县各乡镇经济薄弱，财源匮乏，没有设立金库的经济基础，我县对乡镇财政管理执行的是一个部门预算管理体制，没有对其有税收返还、转移支付资金安排。</w:t>
      </w:r>
      <w:r>
        <w:rPr>
          <w:rFonts w:hint="eastAsia" w:ascii="仿宋_GB2312" w:hAnsi="仿宋_GB2312" w:eastAsia="仿宋_GB2312" w:cs="仿宋_GB2312"/>
          <w:sz w:val="30"/>
          <w:szCs w:val="30"/>
          <w:lang w:eastAsia="zh-CN"/>
        </w:rPr>
        <w:t>所以</w:t>
      </w:r>
      <w:r>
        <w:rPr>
          <w:rFonts w:hint="eastAsia" w:ascii="仿宋_GB2312" w:hAnsi="仿宋_GB2312" w:eastAsia="仿宋_GB2312" w:cs="仿宋_GB2312"/>
          <w:sz w:val="30"/>
          <w:szCs w:val="30"/>
          <w:lang w:val="en-US" w:eastAsia="zh-CN"/>
        </w:rPr>
        <w:t>2022年对下税收和转移支付预算为0。</w:t>
      </w:r>
    </w:p>
    <w:p>
      <w:pPr>
        <w:spacing w:line="600" w:lineRule="exact"/>
        <w:ind w:firstLine="640" w:firstLineChars="200"/>
        <w:rPr>
          <w:rFonts w:eastAsia="黑体"/>
          <w:color w:val="000000"/>
          <w:sz w:val="32"/>
          <w:szCs w:val="32"/>
        </w:rPr>
      </w:pPr>
      <w:r>
        <w:rPr>
          <w:rFonts w:hint="eastAsia" w:eastAsia="黑体"/>
          <w:color w:val="000000"/>
          <w:sz w:val="32"/>
          <w:szCs w:val="32"/>
          <w:lang w:eastAsia="zh-CN"/>
        </w:rPr>
        <w:t>四</w:t>
      </w:r>
      <w:r>
        <w:rPr>
          <w:rFonts w:eastAsia="黑体"/>
          <w:color w:val="000000"/>
          <w:sz w:val="32"/>
          <w:szCs w:val="32"/>
        </w:rPr>
        <w:t>、20</w:t>
      </w:r>
      <w:r>
        <w:rPr>
          <w:rFonts w:hint="eastAsia" w:eastAsia="黑体"/>
          <w:color w:val="000000"/>
          <w:sz w:val="32"/>
          <w:szCs w:val="32"/>
        </w:rPr>
        <w:t>2</w:t>
      </w:r>
      <w:r>
        <w:rPr>
          <w:rFonts w:hint="eastAsia" w:eastAsia="黑体"/>
          <w:color w:val="000000"/>
          <w:sz w:val="32"/>
          <w:szCs w:val="32"/>
          <w:lang w:val="en-US" w:eastAsia="zh-CN"/>
        </w:rPr>
        <w:t>2</w:t>
      </w:r>
      <w:r>
        <w:rPr>
          <w:rFonts w:eastAsia="黑体"/>
          <w:color w:val="000000"/>
          <w:sz w:val="32"/>
          <w:szCs w:val="32"/>
        </w:rPr>
        <w:t>年政府性基金预算说明</w:t>
      </w:r>
    </w:p>
    <w:p>
      <w:pPr>
        <w:pStyle w:val="11"/>
        <w:spacing w:line="360" w:lineRule="auto"/>
        <w:ind w:firstLine="640" w:firstLineChars="200"/>
        <w:rPr>
          <w:rFonts w:hint="eastAsia" w:ascii="仿宋" w:hAnsi="仿宋" w:eastAsia="仿宋"/>
          <w:sz w:val="32"/>
          <w:szCs w:val="32"/>
        </w:rPr>
      </w:pPr>
      <w:r>
        <w:rPr>
          <w:rFonts w:hint="eastAsia" w:eastAsia="仿宋_GB2312"/>
          <w:sz w:val="32"/>
          <w:szCs w:val="32"/>
        </w:rPr>
        <w:t>根据基金收入和实际支出情况，按基金项目以收定支编制。</w:t>
      </w:r>
      <w:r>
        <w:rPr>
          <w:rFonts w:hint="eastAsia" w:ascii="仿宋" w:hAnsi="仿宋" w:eastAsia="仿宋"/>
          <w:sz w:val="32"/>
          <w:szCs w:val="32"/>
        </w:rPr>
        <w:t xml:space="preserve">本年基金收入40630万元(其中：城市基础设施配套费收入210万元，国有土地使用权出让收入含土地增减挂钩收入40000万元，污水处理费收入420万元)，上年结转730万元,收入合计41360万元。本年基金支出18353万元(其中：城市基础设施配套费支出210万元，国有土地使用权出让金支出13364万元，污水处理费安排的支出420万元，专项债券债务付息支出3629万元，社会保障和就业支出730万元)，基金上解支出7万元，调出资金23000万元，支出合计41360万元。 </w:t>
      </w:r>
    </w:p>
    <w:p>
      <w:pPr>
        <w:numPr>
          <w:ilvl w:val="0"/>
          <w:numId w:val="0"/>
        </w:numPr>
        <w:spacing w:line="600" w:lineRule="exact"/>
        <w:ind w:firstLine="600" w:firstLineChars="200"/>
        <w:rPr>
          <w:rFonts w:hint="eastAsia" w:ascii="仿宋" w:hAnsi="仿宋" w:eastAsia="仿宋"/>
          <w:sz w:val="32"/>
          <w:szCs w:val="32"/>
        </w:rPr>
      </w:pPr>
      <w:r>
        <w:rPr>
          <w:rFonts w:hint="eastAsia" w:ascii="仿宋_GB2312" w:hAnsi="仿宋_GB2312" w:eastAsia="仿宋_GB2312" w:cs="仿宋_GB2312"/>
          <w:sz w:val="30"/>
          <w:szCs w:val="30"/>
          <w:lang w:val="en-US" w:eastAsia="zh-CN"/>
        </w:rPr>
        <w:t>我县对乡镇财政管理执行的是一个部门预算管理体制，没有对其有税收返还、转移支付资金安排。所以政府性基金专项转移支付对下补助数据为0。</w:t>
      </w:r>
    </w:p>
    <w:p>
      <w:pPr>
        <w:spacing w:line="600" w:lineRule="exact"/>
        <w:ind w:firstLine="640" w:firstLineChars="200"/>
        <w:rPr>
          <w:rFonts w:eastAsia="黑体"/>
          <w:color w:val="000000"/>
          <w:sz w:val="32"/>
          <w:szCs w:val="32"/>
        </w:rPr>
      </w:pPr>
      <w:r>
        <w:rPr>
          <w:rFonts w:hint="eastAsia" w:eastAsia="黑体"/>
          <w:color w:val="000000"/>
          <w:sz w:val="32"/>
          <w:szCs w:val="32"/>
          <w:lang w:eastAsia="zh-CN"/>
        </w:rPr>
        <w:t>五</w:t>
      </w:r>
      <w:r>
        <w:rPr>
          <w:rFonts w:eastAsia="黑体"/>
          <w:color w:val="000000"/>
          <w:sz w:val="32"/>
          <w:szCs w:val="32"/>
        </w:rPr>
        <w:t>、20</w:t>
      </w:r>
      <w:r>
        <w:rPr>
          <w:rFonts w:hint="eastAsia" w:eastAsia="黑体"/>
          <w:color w:val="000000"/>
          <w:sz w:val="32"/>
          <w:szCs w:val="32"/>
        </w:rPr>
        <w:t>2</w:t>
      </w:r>
      <w:r>
        <w:rPr>
          <w:rFonts w:hint="eastAsia" w:eastAsia="黑体"/>
          <w:color w:val="000000"/>
          <w:sz w:val="32"/>
          <w:szCs w:val="32"/>
          <w:lang w:val="en-US" w:eastAsia="zh-CN"/>
        </w:rPr>
        <w:t>2</w:t>
      </w:r>
      <w:r>
        <w:rPr>
          <w:rFonts w:eastAsia="黑体"/>
          <w:color w:val="000000"/>
          <w:sz w:val="32"/>
          <w:szCs w:val="32"/>
        </w:rPr>
        <w:t>年国有资本经营预算的说明</w:t>
      </w:r>
    </w:p>
    <w:p>
      <w:pPr>
        <w:ind w:firstLine="640" w:firstLineChars="200"/>
        <w:rPr>
          <w:rFonts w:eastAsia="仿宋_GB2312"/>
          <w:sz w:val="32"/>
          <w:szCs w:val="32"/>
        </w:rPr>
      </w:pPr>
      <w:r>
        <w:rPr>
          <w:rFonts w:eastAsia="仿宋_GB2312"/>
          <w:sz w:val="32"/>
          <w:szCs w:val="32"/>
        </w:rPr>
        <w:t>按照收支平衡的原则编制，并加大与一般公共预算统筹力度。</w:t>
      </w:r>
      <w:r>
        <w:rPr>
          <w:rFonts w:hint="eastAsia" w:ascii="仿宋" w:hAnsi="仿宋" w:eastAsia="仿宋"/>
          <w:sz w:val="32"/>
          <w:szCs w:val="32"/>
        </w:rPr>
        <w:t>国有资本经营收入10700万元，主要国有资本资产转让收入和国有企业上交利润。这部分收入在资本经营预算支出中列调出资金，同时以调入资金科目纳入一般公共财政预算安排。</w:t>
      </w:r>
    </w:p>
    <w:p>
      <w:pPr>
        <w:spacing w:line="600" w:lineRule="exact"/>
        <w:ind w:firstLine="629"/>
        <w:rPr>
          <w:rFonts w:eastAsia="黑体"/>
          <w:color w:val="000000"/>
          <w:sz w:val="32"/>
          <w:szCs w:val="32"/>
        </w:rPr>
      </w:pPr>
      <w:r>
        <w:rPr>
          <w:rFonts w:eastAsia="黑体"/>
          <w:color w:val="000000"/>
          <w:sz w:val="32"/>
          <w:szCs w:val="32"/>
        </w:rPr>
        <w:t>六、20</w:t>
      </w:r>
      <w:r>
        <w:rPr>
          <w:rFonts w:hint="eastAsia" w:eastAsia="黑体"/>
          <w:color w:val="000000"/>
          <w:sz w:val="32"/>
          <w:szCs w:val="32"/>
        </w:rPr>
        <w:t>2</w:t>
      </w:r>
      <w:r>
        <w:rPr>
          <w:rFonts w:hint="eastAsia" w:eastAsia="黑体"/>
          <w:color w:val="000000"/>
          <w:sz w:val="32"/>
          <w:szCs w:val="32"/>
          <w:lang w:val="en-US" w:eastAsia="zh-CN"/>
        </w:rPr>
        <w:t>2</w:t>
      </w:r>
      <w:r>
        <w:rPr>
          <w:rFonts w:eastAsia="黑体"/>
          <w:color w:val="000000"/>
          <w:sz w:val="32"/>
          <w:szCs w:val="32"/>
        </w:rPr>
        <w:t>年</w:t>
      </w:r>
      <w:r>
        <w:rPr>
          <w:rFonts w:hint="eastAsia" w:eastAsia="黑体"/>
          <w:color w:val="000000"/>
          <w:sz w:val="32"/>
          <w:szCs w:val="32"/>
        </w:rPr>
        <w:t>社会保险基金</w:t>
      </w:r>
      <w:r>
        <w:rPr>
          <w:rFonts w:eastAsia="黑体"/>
          <w:color w:val="000000"/>
          <w:sz w:val="32"/>
          <w:szCs w:val="32"/>
        </w:rPr>
        <w:t>预算的说明</w:t>
      </w:r>
    </w:p>
    <w:p>
      <w:pPr>
        <w:spacing w:line="360" w:lineRule="auto"/>
        <w:ind w:firstLine="640" w:firstLineChars="200"/>
        <w:rPr>
          <w:rFonts w:eastAsia="仿宋_GB2312"/>
          <w:sz w:val="32"/>
          <w:szCs w:val="32"/>
        </w:rPr>
      </w:pPr>
      <w:r>
        <w:rPr>
          <w:rFonts w:hint="eastAsia" w:ascii="仿宋" w:hAnsi="仿宋" w:eastAsia="仿宋" w:cs="Times New Roman"/>
          <w:sz w:val="32"/>
          <w:szCs w:val="32"/>
        </w:rPr>
        <w:t>本年收入安排74097万元，支出安排66952万元，年末滚存结余55358万元。</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lang w:eastAsia="zh-CN"/>
        </w:rPr>
        <w:t>七</w:t>
      </w:r>
      <w:r>
        <w:rPr>
          <w:rFonts w:hint="eastAsia" w:ascii="黑体" w:eastAsia="黑体"/>
          <w:color w:val="000000"/>
          <w:sz w:val="32"/>
          <w:szCs w:val="32"/>
        </w:rPr>
        <w:t>、举借政府债务情况</w:t>
      </w:r>
    </w:p>
    <w:p>
      <w:pPr>
        <w:spacing w:line="600" w:lineRule="exact"/>
        <w:ind w:firstLine="643" w:firstLineChars="200"/>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（一）地方政府债务限额余额情况</w:t>
      </w:r>
    </w:p>
    <w:p>
      <w:pPr>
        <w:spacing w:line="600" w:lineRule="exact"/>
        <w:ind w:firstLine="640" w:firstLineChars="200"/>
        <w:rPr>
          <w:rFonts w:hint="eastAsia" w:ascii="仿宋" w:hAnsi="仿宋" w:eastAsia="仿宋"/>
          <w:color w:val="333333"/>
          <w:sz w:val="32"/>
          <w:szCs w:val="32"/>
          <w:shd w:val="clear" w:color="auto" w:fill="FFFFFF"/>
          <w:lang w:eastAsia="zh-CN"/>
        </w:rPr>
      </w:pPr>
      <w:r>
        <w:rPr>
          <w:rFonts w:hint="eastAsia" w:ascii="仿宋" w:hAnsi="仿宋" w:eastAsia="仿宋"/>
          <w:color w:val="333333"/>
          <w:sz w:val="32"/>
          <w:szCs w:val="32"/>
          <w:shd w:val="clear" w:color="auto" w:fill="FFFFFF"/>
          <w:lang w:val="en-US" w:eastAsia="zh-CN"/>
        </w:rPr>
        <w:t>2022年政府债务总限额350491万元，其中一般债务限额252997万元，专项债务限额97494万元。</w:t>
      </w:r>
      <w:r>
        <w:rPr>
          <w:rFonts w:hint="eastAsia" w:ascii="仿宋" w:hAnsi="仿宋" w:eastAsia="仿宋"/>
          <w:color w:val="333333"/>
          <w:sz w:val="32"/>
          <w:szCs w:val="32"/>
          <w:shd w:val="clear" w:color="auto" w:fill="FFFFFF"/>
        </w:rPr>
        <w:t>截止20</w:t>
      </w:r>
      <w:r>
        <w:rPr>
          <w:rFonts w:hint="eastAsia" w:ascii="仿宋" w:hAnsi="仿宋" w:eastAsia="仿宋"/>
          <w:color w:val="333333"/>
          <w:sz w:val="32"/>
          <w:szCs w:val="32"/>
          <w:shd w:val="clear" w:color="auto" w:fill="FFFFFF"/>
          <w:lang w:val="en-US" w:eastAsia="zh-CN"/>
        </w:rPr>
        <w:t>22</w:t>
      </w:r>
      <w:r>
        <w:rPr>
          <w:rFonts w:hint="eastAsia" w:ascii="仿宋" w:hAnsi="仿宋" w:eastAsia="仿宋"/>
          <w:color w:val="333333"/>
          <w:sz w:val="32"/>
          <w:szCs w:val="32"/>
          <w:shd w:val="clear" w:color="auto" w:fill="FFFFFF"/>
        </w:rPr>
        <w:t>年底</w:t>
      </w:r>
      <w:r>
        <w:rPr>
          <w:rFonts w:hint="eastAsia" w:ascii="仿宋" w:hAnsi="仿宋" w:eastAsia="仿宋"/>
          <w:color w:val="333333"/>
          <w:sz w:val="32"/>
          <w:szCs w:val="32"/>
          <w:shd w:val="clear" w:color="auto" w:fill="FFFFFF"/>
          <w:lang w:eastAsia="zh-CN"/>
        </w:rPr>
        <w:t>，地方政府债务余额</w:t>
      </w:r>
      <w:r>
        <w:rPr>
          <w:rFonts w:hint="eastAsia" w:ascii="仿宋" w:hAnsi="仿宋" w:eastAsia="仿宋"/>
          <w:color w:val="333333"/>
          <w:sz w:val="32"/>
          <w:szCs w:val="32"/>
          <w:shd w:val="clear" w:color="auto" w:fill="FFFFFF"/>
          <w:lang w:val="en-US" w:eastAsia="zh-CN"/>
        </w:rPr>
        <w:t>349701</w:t>
      </w:r>
      <w:r>
        <w:rPr>
          <w:rFonts w:hint="eastAsia" w:ascii="仿宋" w:hAnsi="仿宋" w:eastAsia="仿宋"/>
          <w:color w:val="333333"/>
          <w:sz w:val="32"/>
          <w:szCs w:val="32"/>
          <w:shd w:val="clear" w:color="auto" w:fill="FFFFFF"/>
          <w:lang w:eastAsia="zh-CN"/>
        </w:rPr>
        <w:t>万元，其中一般债务余额</w:t>
      </w:r>
      <w:r>
        <w:rPr>
          <w:rFonts w:hint="eastAsia" w:ascii="仿宋" w:hAnsi="仿宋" w:eastAsia="仿宋"/>
          <w:color w:val="333333"/>
          <w:sz w:val="32"/>
          <w:szCs w:val="32"/>
          <w:shd w:val="clear" w:color="auto" w:fill="FFFFFF"/>
          <w:lang w:val="en-US" w:eastAsia="zh-CN"/>
        </w:rPr>
        <w:t>252207万元</w:t>
      </w:r>
      <w:r>
        <w:rPr>
          <w:rFonts w:hint="eastAsia" w:ascii="仿宋" w:hAnsi="仿宋" w:eastAsia="仿宋"/>
          <w:color w:val="333333"/>
          <w:sz w:val="32"/>
          <w:szCs w:val="32"/>
          <w:shd w:val="clear" w:color="auto" w:fill="FFFFFF"/>
          <w:lang w:eastAsia="zh-CN"/>
        </w:rPr>
        <w:t>，专项债务余额</w:t>
      </w:r>
      <w:r>
        <w:rPr>
          <w:rFonts w:hint="eastAsia" w:ascii="仿宋" w:hAnsi="仿宋" w:eastAsia="仿宋"/>
          <w:color w:val="333333"/>
          <w:sz w:val="32"/>
          <w:szCs w:val="32"/>
          <w:shd w:val="clear" w:color="auto" w:fill="FFFFFF"/>
          <w:lang w:val="en-US" w:eastAsia="zh-CN"/>
        </w:rPr>
        <w:t>97494万元</w:t>
      </w:r>
      <w:r>
        <w:rPr>
          <w:rFonts w:hint="eastAsia" w:ascii="仿宋" w:hAnsi="仿宋" w:eastAsia="仿宋"/>
          <w:color w:val="333333"/>
          <w:sz w:val="32"/>
          <w:szCs w:val="32"/>
          <w:shd w:val="clear" w:color="auto" w:fill="FFFFFF"/>
          <w:lang w:eastAsia="zh-CN"/>
        </w:rPr>
        <w:t>。</w:t>
      </w:r>
    </w:p>
    <w:p>
      <w:pPr>
        <w:numPr>
          <w:ilvl w:val="0"/>
          <w:numId w:val="1"/>
        </w:numPr>
        <w:spacing w:line="600" w:lineRule="exact"/>
        <w:ind w:firstLine="643" w:firstLineChars="200"/>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地方政府债券发行情况</w:t>
      </w:r>
    </w:p>
    <w:p>
      <w:pPr>
        <w:keepNext w:val="0"/>
        <w:keepLines w:val="0"/>
        <w:pageBreakBefore w:val="0"/>
        <w:numPr>
          <w:ilvl w:val="0"/>
          <w:numId w:val="0"/>
        </w:numPr>
        <w:kinsoku/>
        <w:wordWrap/>
        <w:overflowPunct/>
        <w:topLinePunct w:val="0"/>
        <w:autoSpaceDE/>
        <w:autoSpaceDN/>
        <w:bidi w:val="0"/>
        <w:spacing w:line="240" w:lineRule="auto"/>
        <w:ind w:firstLine="640" w:firstLineChars="200"/>
        <w:rPr>
          <w:rFonts w:hint="eastAsia" w:ascii="仿宋" w:hAnsi="仿宋" w:eastAsia="仿宋"/>
          <w:color w:val="333333"/>
          <w:sz w:val="32"/>
          <w:szCs w:val="32"/>
          <w:shd w:val="clear" w:color="auto" w:fill="FFFFFF"/>
          <w:lang w:eastAsia="zh-CN"/>
        </w:rPr>
      </w:pPr>
      <w:r>
        <w:rPr>
          <w:rFonts w:hint="eastAsia" w:ascii="仿宋" w:hAnsi="仿宋" w:eastAsia="仿宋"/>
          <w:color w:val="333333"/>
          <w:sz w:val="32"/>
          <w:szCs w:val="32"/>
          <w:shd w:val="clear" w:color="auto" w:fill="FFFFFF"/>
          <w:lang w:val="en-US" w:eastAsia="zh-CN"/>
        </w:rPr>
        <w:t>2022年省转贷新增债务限额0万元，其中一般债务限额0万元，专项债务限额0万元，据此发行一般债券0万元，专项债券0万元</w:t>
      </w:r>
      <w:r>
        <w:rPr>
          <w:rFonts w:hint="eastAsia" w:ascii="仿宋" w:hAnsi="仿宋" w:eastAsia="仿宋"/>
          <w:color w:val="333333"/>
          <w:sz w:val="32"/>
          <w:szCs w:val="32"/>
          <w:shd w:val="clear" w:color="auto" w:fill="FFFFFF"/>
        </w:rPr>
        <w:t>。</w:t>
      </w:r>
    </w:p>
    <w:p>
      <w:pPr>
        <w:numPr>
          <w:ilvl w:val="0"/>
          <w:numId w:val="1"/>
        </w:numPr>
        <w:spacing w:line="600" w:lineRule="exact"/>
        <w:ind w:firstLine="643" w:firstLineChars="200"/>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地方政府债务还本付息情况</w:t>
      </w:r>
    </w:p>
    <w:p>
      <w:pPr>
        <w:spacing w:line="600" w:lineRule="exact"/>
        <w:ind w:firstLine="640" w:firstLineChars="200"/>
        <w:rPr>
          <w:rFonts w:hint="eastAsia" w:ascii="仿宋" w:hAnsi="仿宋" w:eastAsia="仿宋"/>
          <w:color w:val="333333"/>
          <w:sz w:val="32"/>
          <w:szCs w:val="32"/>
          <w:shd w:val="clear" w:color="auto" w:fill="FFFFFF"/>
          <w:lang w:val="en-US" w:eastAsia="zh-CN"/>
        </w:rPr>
      </w:pPr>
      <w:r>
        <w:rPr>
          <w:rFonts w:hint="eastAsia" w:ascii="仿宋" w:hAnsi="仿宋" w:eastAsia="仿宋"/>
          <w:color w:val="333333"/>
          <w:sz w:val="32"/>
          <w:szCs w:val="32"/>
          <w:shd w:val="clear" w:color="auto" w:fill="FFFFFF"/>
          <w:lang w:val="en-US" w:eastAsia="zh-CN"/>
        </w:rPr>
        <w:t>2022年</w:t>
      </w:r>
      <w:r>
        <w:rPr>
          <w:rFonts w:hint="eastAsia" w:ascii="仿宋" w:hAnsi="仿宋" w:eastAsia="仿宋"/>
          <w:color w:val="333333"/>
          <w:sz w:val="32"/>
          <w:szCs w:val="32"/>
          <w:shd w:val="clear" w:color="auto" w:fill="FFFFFF"/>
        </w:rPr>
        <w:t>安排</w:t>
      </w:r>
      <w:r>
        <w:rPr>
          <w:rFonts w:hint="eastAsia" w:ascii="仿宋" w:hAnsi="仿宋" w:eastAsia="仿宋"/>
          <w:color w:val="333333"/>
          <w:sz w:val="32"/>
          <w:szCs w:val="32"/>
          <w:shd w:val="clear" w:color="auto" w:fill="FFFFFF"/>
          <w:lang w:eastAsia="zh-CN"/>
        </w:rPr>
        <w:t>政府债券</w:t>
      </w:r>
      <w:r>
        <w:rPr>
          <w:rFonts w:hint="eastAsia" w:ascii="仿宋" w:hAnsi="仿宋" w:eastAsia="仿宋"/>
          <w:color w:val="333333"/>
          <w:sz w:val="32"/>
          <w:szCs w:val="32"/>
          <w:shd w:val="clear" w:color="auto" w:fill="FFFFFF"/>
        </w:rPr>
        <w:t>还本支出</w:t>
      </w:r>
      <w:r>
        <w:rPr>
          <w:rFonts w:hint="eastAsia" w:ascii="仿宋" w:hAnsi="仿宋" w:eastAsia="仿宋"/>
          <w:color w:val="333333"/>
          <w:sz w:val="32"/>
          <w:szCs w:val="32"/>
          <w:shd w:val="clear" w:color="auto" w:fill="FFFFFF"/>
          <w:lang w:val="en-US" w:eastAsia="zh-CN"/>
        </w:rPr>
        <w:t>24541</w:t>
      </w:r>
      <w:r>
        <w:rPr>
          <w:rFonts w:hint="eastAsia" w:ascii="仿宋" w:hAnsi="仿宋" w:eastAsia="仿宋"/>
          <w:color w:val="333333"/>
          <w:sz w:val="32"/>
          <w:szCs w:val="32"/>
          <w:shd w:val="clear" w:color="auto" w:fill="FFFFFF"/>
        </w:rPr>
        <w:t>万元</w:t>
      </w:r>
      <w:r>
        <w:rPr>
          <w:rFonts w:hint="eastAsia" w:ascii="仿宋" w:hAnsi="仿宋" w:eastAsia="仿宋"/>
          <w:color w:val="333333"/>
          <w:sz w:val="32"/>
          <w:szCs w:val="32"/>
          <w:shd w:val="clear" w:color="auto" w:fill="FFFFFF"/>
          <w:lang w:eastAsia="zh-CN"/>
        </w:rPr>
        <w:t>，其中一般债券本金</w:t>
      </w:r>
      <w:r>
        <w:rPr>
          <w:rFonts w:hint="eastAsia" w:ascii="仿宋" w:hAnsi="仿宋" w:eastAsia="仿宋"/>
          <w:color w:val="333333"/>
          <w:sz w:val="32"/>
          <w:szCs w:val="32"/>
          <w:shd w:val="clear" w:color="auto" w:fill="FFFFFF"/>
          <w:lang w:val="en-US" w:eastAsia="zh-CN"/>
        </w:rPr>
        <w:t>24541万元，专项债券本金0万元；安排</w:t>
      </w:r>
      <w:r>
        <w:rPr>
          <w:rFonts w:hint="eastAsia" w:ascii="仿宋" w:hAnsi="仿宋" w:eastAsia="仿宋"/>
          <w:color w:val="333333"/>
          <w:sz w:val="32"/>
          <w:szCs w:val="32"/>
          <w:shd w:val="clear" w:color="auto" w:fill="FFFFFF"/>
          <w:lang w:eastAsia="zh-CN"/>
        </w:rPr>
        <w:t>政府债券付息</w:t>
      </w:r>
      <w:r>
        <w:rPr>
          <w:rFonts w:hint="eastAsia" w:ascii="仿宋" w:hAnsi="仿宋" w:eastAsia="仿宋"/>
          <w:color w:val="333333"/>
          <w:sz w:val="32"/>
          <w:szCs w:val="32"/>
          <w:shd w:val="clear" w:color="auto" w:fill="FFFFFF"/>
        </w:rPr>
        <w:t>支出</w:t>
      </w:r>
      <w:r>
        <w:rPr>
          <w:rFonts w:hint="eastAsia" w:ascii="仿宋" w:hAnsi="仿宋" w:eastAsia="仿宋"/>
          <w:color w:val="333333"/>
          <w:sz w:val="32"/>
          <w:szCs w:val="32"/>
          <w:shd w:val="clear" w:color="auto" w:fill="FFFFFF"/>
          <w:lang w:val="en-US" w:eastAsia="zh-CN"/>
        </w:rPr>
        <w:t>11223万元</w:t>
      </w:r>
      <w:r>
        <w:rPr>
          <w:rFonts w:hint="eastAsia" w:ascii="仿宋" w:hAnsi="仿宋" w:eastAsia="仿宋"/>
          <w:color w:val="333333"/>
          <w:sz w:val="32"/>
          <w:szCs w:val="32"/>
          <w:shd w:val="clear" w:color="auto" w:fill="FFFFFF"/>
          <w:lang w:eastAsia="zh-CN"/>
        </w:rPr>
        <w:t>，其中一般债券利息</w:t>
      </w:r>
      <w:r>
        <w:rPr>
          <w:rFonts w:hint="eastAsia" w:ascii="仿宋" w:hAnsi="仿宋" w:eastAsia="仿宋"/>
          <w:color w:val="333333"/>
          <w:sz w:val="32"/>
          <w:szCs w:val="32"/>
          <w:shd w:val="clear" w:color="auto" w:fill="FFFFFF"/>
          <w:lang w:val="en-US" w:eastAsia="zh-CN"/>
        </w:rPr>
        <w:t>7594万元，</w:t>
      </w:r>
      <w:r>
        <w:rPr>
          <w:rFonts w:hint="eastAsia" w:ascii="仿宋" w:hAnsi="仿宋" w:eastAsia="仿宋"/>
          <w:color w:val="333333"/>
          <w:sz w:val="32"/>
          <w:szCs w:val="32"/>
          <w:shd w:val="clear" w:color="auto" w:fill="FFFFFF"/>
          <w:lang w:eastAsia="zh-CN"/>
        </w:rPr>
        <w:t>专项债券利息</w:t>
      </w:r>
      <w:r>
        <w:rPr>
          <w:rFonts w:hint="eastAsia" w:ascii="仿宋" w:hAnsi="仿宋" w:eastAsia="仿宋"/>
          <w:color w:val="333333"/>
          <w:sz w:val="32"/>
          <w:szCs w:val="32"/>
          <w:shd w:val="clear" w:color="auto" w:fill="FFFFFF"/>
          <w:lang w:val="en-US" w:eastAsia="zh-CN"/>
        </w:rPr>
        <w:t>3629万元。</w:t>
      </w:r>
    </w:p>
    <w:p>
      <w:pPr>
        <w:numPr>
          <w:ilvl w:val="0"/>
          <w:numId w:val="1"/>
        </w:numPr>
        <w:spacing w:line="600" w:lineRule="exact"/>
        <w:ind w:firstLine="643" w:firstLineChars="200"/>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地方政府债券</w:t>
      </w:r>
      <w:r>
        <w:rPr>
          <w:rFonts w:hint="eastAsia" w:ascii="宋体" w:hAnsi="宋体" w:cs="宋体"/>
          <w:b/>
          <w:bCs/>
          <w:color w:val="333333"/>
          <w:sz w:val="32"/>
          <w:szCs w:val="32"/>
          <w:shd w:val="clear" w:color="auto" w:fill="FFFFFF"/>
          <w:lang w:eastAsia="zh-CN"/>
        </w:rPr>
        <w:t>使用</w:t>
      </w:r>
      <w:r>
        <w:rPr>
          <w:rFonts w:hint="eastAsia" w:ascii="宋体" w:hAnsi="宋体" w:eastAsia="宋体" w:cs="宋体"/>
          <w:b/>
          <w:bCs/>
          <w:color w:val="333333"/>
          <w:sz w:val="32"/>
          <w:szCs w:val="32"/>
          <w:shd w:val="clear" w:color="auto" w:fill="FFFFFF"/>
          <w:lang w:eastAsia="zh-CN"/>
        </w:rPr>
        <w:t>情况</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640" w:firstLineChars="200"/>
        <w:jc w:val="left"/>
        <w:textAlignment w:val="auto"/>
        <w:rPr>
          <w:rFonts w:hint="default" w:ascii="仿宋" w:hAnsi="仿宋" w:eastAsia="仿宋"/>
          <w:sz w:val="32"/>
          <w:szCs w:val="32"/>
          <w:lang w:val="en-US"/>
        </w:rPr>
      </w:pPr>
      <w:r>
        <w:rPr>
          <w:rFonts w:hint="eastAsia" w:ascii="仿宋" w:hAnsi="仿宋" w:eastAsia="仿宋"/>
          <w:color w:val="333333"/>
          <w:sz w:val="32"/>
          <w:szCs w:val="32"/>
          <w:shd w:val="clear" w:color="auto" w:fill="FFFFFF"/>
          <w:lang w:val="en-US" w:eastAsia="zh-CN"/>
        </w:rPr>
        <w:t>2022年我县预算安排新增地方政府债券0万元，其中一般债券0万元，专项债券0万元</w:t>
      </w:r>
      <w:r>
        <w:rPr>
          <w:rFonts w:hint="eastAsia" w:ascii="仿宋_GB2312" w:hAnsi="仿宋_GB2312" w:eastAsia="仿宋_GB2312" w:cs="仿宋_GB2312"/>
          <w:sz w:val="32"/>
          <w:szCs w:val="32"/>
          <w:lang w:val="en-US" w:eastAsia="zh-CN"/>
        </w:rPr>
        <w:t>。</w:t>
      </w:r>
      <w:r>
        <w:rPr>
          <w:rFonts w:hint="eastAsia" w:ascii="仿宋" w:hAnsi="仿宋" w:eastAsia="仿宋"/>
          <w:color w:val="333333"/>
          <w:sz w:val="32"/>
          <w:szCs w:val="32"/>
          <w:shd w:val="clear" w:color="auto" w:fill="FFFFFF"/>
          <w:lang w:val="en-US" w:eastAsia="zh-CN"/>
        </w:rPr>
        <w:t>安排再融资债券0万元。</w:t>
      </w:r>
    </w:p>
    <w:p>
      <w:pPr>
        <w:numPr>
          <w:ilvl w:val="0"/>
          <w:numId w:val="2"/>
        </w:numPr>
        <w:ind w:firstLine="640" w:firstLineChars="200"/>
        <w:rPr>
          <w:rFonts w:hint="eastAsia" w:ascii="黑体" w:eastAsia="黑体"/>
          <w:color w:val="000000"/>
          <w:sz w:val="32"/>
          <w:szCs w:val="32"/>
        </w:rPr>
      </w:pPr>
      <w:r>
        <w:rPr>
          <w:rFonts w:hint="eastAsia" w:ascii="黑体" w:eastAsia="黑体"/>
          <w:color w:val="000000"/>
          <w:sz w:val="32"/>
          <w:szCs w:val="32"/>
        </w:rPr>
        <w:t>预算绩效管理工作开展情况</w:t>
      </w:r>
    </w:p>
    <w:p>
      <w:pPr>
        <w:keepNext w:val="0"/>
        <w:keepLines w:val="0"/>
        <w:pageBreakBefore w:val="0"/>
        <w:kinsoku/>
        <w:wordWrap/>
        <w:overflowPunct/>
        <w:topLinePunct w:val="0"/>
        <w:autoSpaceDE/>
        <w:autoSpaceDN/>
        <w:bidi w:val="0"/>
        <w:adjustRightInd w:val="0"/>
        <w:snapToGrid w:val="0"/>
        <w:spacing w:line="360" w:lineRule="auto"/>
        <w:ind w:firstLine="720" w:firstLineChars="225"/>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02</w:t>
      </w:r>
      <w:r>
        <w:rPr>
          <w:rFonts w:hint="eastAsia" w:ascii="仿宋" w:hAnsi="仿宋" w:eastAsia="仿宋" w:cs="仿宋"/>
          <w:sz w:val="32"/>
          <w:szCs w:val="32"/>
          <w:lang w:val="en-US" w:eastAsia="zh-CN"/>
        </w:rPr>
        <w:t>1</w:t>
      </w:r>
      <w:r>
        <w:rPr>
          <w:rFonts w:hint="eastAsia" w:ascii="仿宋" w:hAnsi="仿宋" w:eastAsia="仿宋" w:cs="仿宋"/>
          <w:sz w:val="32"/>
          <w:szCs w:val="32"/>
        </w:rPr>
        <w:t>年，按照财政部和省委省政府关于预算绩效管理工作的决策部署以及年初县预算绩效管理领导小组明确的工作任务，以全面深化预算绩效管理为目标，对预算绩效管理工作进行扩面提质，逐步推进预算绩效管理工作转型，各项工作都上了一个新台阶。</w:t>
      </w:r>
    </w:p>
    <w:p>
      <w:pPr>
        <w:pStyle w:val="5"/>
        <w:spacing w:before="0" w:after="0"/>
        <w:ind w:firstLine="640" w:firstLineChars="200"/>
        <w:jc w:val="both"/>
        <w:rPr>
          <w:rFonts w:hint="eastAsia" w:ascii="仿宋" w:hAnsi="仿宋" w:eastAsia="仿宋" w:cs="Times New Roman"/>
          <w:b w:val="0"/>
          <w:kern w:val="2"/>
        </w:rPr>
      </w:pPr>
      <w:r>
        <w:rPr>
          <w:rFonts w:hint="eastAsia" w:ascii="仿宋" w:hAnsi="仿宋" w:eastAsia="仿宋" w:cs="Times New Roman"/>
          <w:b w:val="0"/>
          <w:kern w:val="2"/>
          <w:lang w:val="en-US" w:eastAsia="zh-CN"/>
        </w:rPr>
        <w:t>1、</w:t>
      </w:r>
      <w:r>
        <w:rPr>
          <w:rFonts w:hint="eastAsia" w:ascii="仿宋" w:hAnsi="仿宋" w:eastAsia="仿宋" w:cs="Times New Roman"/>
          <w:b w:val="0"/>
          <w:kern w:val="2"/>
        </w:rPr>
        <w:t>加强绩效目标管理。要求各单位在申请新增预算资金和申报部门预算时，同步报送新增项目资金支出绩效目标表，并对绩效目标进行规范完整性、明确清晰性等八个方面审核，提高部门单位预算资金使用绩效意识。</w:t>
      </w:r>
    </w:p>
    <w:p>
      <w:pPr>
        <w:pStyle w:val="5"/>
        <w:spacing w:before="0" w:after="0"/>
        <w:ind w:firstLine="640" w:firstLineChars="200"/>
        <w:jc w:val="both"/>
        <w:rPr>
          <w:rFonts w:hint="eastAsia" w:ascii="仿宋" w:hAnsi="仿宋" w:eastAsia="仿宋" w:cs="Times New Roman"/>
          <w:b w:val="0"/>
          <w:kern w:val="2"/>
        </w:rPr>
      </w:pPr>
      <w:r>
        <w:rPr>
          <w:rFonts w:hint="eastAsia" w:ascii="仿宋" w:hAnsi="仿宋" w:eastAsia="仿宋" w:cs="Times New Roman"/>
          <w:b w:val="0"/>
          <w:kern w:val="2"/>
          <w:lang w:val="en-US" w:eastAsia="zh-CN"/>
        </w:rPr>
        <w:t>2、</w:t>
      </w:r>
      <w:r>
        <w:rPr>
          <w:rFonts w:hint="eastAsia" w:ascii="仿宋" w:hAnsi="仿宋" w:eastAsia="仿宋" w:cs="Times New Roman"/>
          <w:b w:val="0"/>
          <w:kern w:val="2"/>
        </w:rPr>
        <w:t>完善了我县教育事业单位绩效目标指标编制模块。我们创造性地对学校部门整体支出绩效目标进行归类细化，初步拟定出我县《学校部门整体支出绩效目标申报表》，各项指标内容更贴近教育理念及单位实际。至此，我县已完成《机关事业单位部门整体支出绩效目标申报表》、《乡镇部门整体支出绩效目标申报表》、《单位临时新增预算资金绩效目标申报表》、《扶贫资金绩效目标申报表》等专项模板的创建工作，形成各有特色的指标体系，方便各单位填报，我县绩效目标填报整体水平有大幅提高。</w:t>
      </w:r>
    </w:p>
    <w:p>
      <w:pPr>
        <w:pStyle w:val="5"/>
        <w:spacing w:before="0" w:after="0"/>
        <w:ind w:firstLine="640" w:firstLineChars="200"/>
        <w:jc w:val="both"/>
        <w:rPr>
          <w:rFonts w:hint="eastAsia" w:ascii="仿宋" w:hAnsi="仿宋" w:eastAsia="仿宋" w:cs="Times New Roman"/>
          <w:b w:val="0"/>
          <w:kern w:val="2"/>
        </w:rPr>
      </w:pPr>
      <w:r>
        <w:rPr>
          <w:rFonts w:hint="eastAsia" w:ascii="仿宋" w:hAnsi="仿宋" w:eastAsia="仿宋" w:cs="Times New Roman"/>
          <w:b w:val="0"/>
          <w:kern w:val="2"/>
          <w:lang w:val="en-US" w:eastAsia="zh-CN"/>
        </w:rPr>
        <w:t>3、</w:t>
      </w:r>
      <w:r>
        <w:rPr>
          <w:rFonts w:hint="eastAsia" w:ascii="仿宋" w:hAnsi="仿宋" w:eastAsia="仿宋" w:cs="Times New Roman"/>
          <w:b w:val="0"/>
          <w:kern w:val="2"/>
        </w:rPr>
        <w:t>扎实抓好绩效评价工作。组织全县69个一级预算单位积极开展20</w:t>
      </w:r>
      <w:r>
        <w:rPr>
          <w:rFonts w:hint="eastAsia" w:ascii="仿宋" w:hAnsi="仿宋" w:eastAsia="仿宋" w:cs="Times New Roman"/>
          <w:b w:val="0"/>
          <w:kern w:val="2"/>
          <w:lang w:val="en-US" w:eastAsia="zh-CN"/>
        </w:rPr>
        <w:t>20</w:t>
      </w:r>
      <w:r>
        <w:rPr>
          <w:rFonts w:hint="eastAsia" w:ascii="仿宋" w:hAnsi="仿宋" w:eastAsia="仿宋" w:cs="Times New Roman"/>
          <w:b w:val="0"/>
          <w:kern w:val="2"/>
        </w:rPr>
        <w:t>年部门整体支出和项目支出绩效自评，布署全县各扶贫项目资金管理单位组织实施20</w:t>
      </w:r>
      <w:r>
        <w:rPr>
          <w:rFonts w:hint="eastAsia" w:ascii="仿宋" w:hAnsi="仿宋" w:eastAsia="仿宋" w:cs="Times New Roman"/>
          <w:b w:val="0"/>
          <w:kern w:val="2"/>
          <w:lang w:val="en-US" w:eastAsia="zh-CN"/>
        </w:rPr>
        <w:t>20</w:t>
      </w:r>
      <w:r>
        <w:rPr>
          <w:rFonts w:hint="eastAsia" w:ascii="仿宋" w:hAnsi="仿宋" w:eastAsia="仿宋" w:cs="Times New Roman"/>
          <w:b w:val="0"/>
          <w:kern w:val="2"/>
        </w:rPr>
        <w:t>年度扶贫项目资金自评价工作，积极启动县级财政预算绩效重点评价工作，4月份摸底调查全县扶贫资金项目、重大民生资金项目和基础设施建设项目，确定了202</w:t>
      </w:r>
      <w:r>
        <w:rPr>
          <w:rFonts w:hint="eastAsia" w:ascii="仿宋" w:hAnsi="仿宋" w:eastAsia="仿宋" w:cs="Times New Roman"/>
          <w:b w:val="0"/>
          <w:kern w:val="2"/>
          <w:lang w:val="en-US" w:eastAsia="zh-CN"/>
        </w:rPr>
        <w:t>1</w:t>
      </w:r>
      <w:r>
        <w:rPr>
          <w:rFonts w:hint="eastAsia" w:ascii="仿宋" w:hAnsi="仿宋" w:eastAsia="仿宋" w:cs="Times New Roman"/>
          <w:b w:val="0"/>
          <w:kern w:val="2"/>
        </w:rPr>
        <w:t>年重点评价项目</w:t>
      </w:r>
      <w:r>
        <w:rPr>
          <w:rFonts w:hint="eastAsia" w:ascii="仿宋" w:hAnsi="仿宋" w:eastAsia="仿宋" w:cs="Times New Roman"/>
          <w:b w:val="0"/>
          <w:kern w:val="2"/>
          <w:lang w:val="en-US" w:eastAsia="zh-CN"/>
        </w:rPr>
        <w:t>4</w:t>
      </w:r>
      <w:r>
        <w:rPr>
          <w:rFonts w:hint="eastAsia" w:ascii="仿宋" w:hAnsi="仿宋" w:eastAsia="仿宋" w:cs="Times New Roman"/>
          <w:b w:val="0"/>
          <w:kern w:val="2"/>
        </w:rPr>
        <w:t>个及部门整体支出单位3个。</w:t>
      </w:r>
    </w:p>
    <w:p>
      <w:pPr>
        <w:pStyle w:val="5"/>
        <w:spacing w:before="0" w:after="0"/>
        <w:ind w:firstLine="640" w:firstLineChars="200"/>
        <w:jc w:val="both"/>
        <w:rPr>
          <w:rFonts w:hint="default" w:ascii="黑体" w:eastAsia="黑体"/>
          <w:color w:val="000000"/>
          <w:sz w:val="32"/>
          <w:szCs w:val="32"/>
          <w:lang w:val="en-US" w:eastAsia="zh-CN"/>
        </w:rPr>
      </w:pPr>
      <w:r>
        <w:rPr>
          <w:rFonts w:hint="eastAsia" w:ascii="仿宋" w:hAnsi="仿宋" w:eastAsia="仿宋" w:cs="Times New Roman"/>
          <w:b w:val="0"/>
          <w:kern w:val="2"/>
          <w:lang w:val="en-US" w:eastAsia="zh-CN"/>
        </w:rPr>
        <w:t>4、</w:t>
      </w:r>
      <w:r>
        <w:rPr>
          <w:rFonts w:hint="eastAsia" w:ascii="仿宋" w:hAnsi="仿宋" w:eastAsia="仿宋" w:cs="Times New Roman"/>
          <w:b w:val="0"/>
          <w:kern w:val="2"/>
        </w:rPr>
        <w:t>加强业务培训，充分利用全县性财政工作会议时间，积极开展绩效业务集中培训工作。</w:t>
      </w:r>
    </w:p>
    <w:p>
      <w:pPr>
        <w:numPr>
          <w:ilvl w:val="0"/>
          <w:numId w:val="0"/>
        </w:num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kern w:val="2"/>
          <w:sz w:val="32"/>
          <w:szCs w:val="32"/>
          <w:lang w:val="en-US" w:eastAsia="zh-CN" w:bidi="ar-SA"/>
        </w:rPr>
        <w:t>2022年，我县认真贯彻落实关于全面实施预算绩效管理的决策部署，加快建立全方位、全过程、全覆盖预算绩效管理体系。</w:t>
      </w:r>
    </w:p>
    <w:p>
      <w:pPr>
        <w:ind w:firstLine="643" w:firstLineChars="200"/>
        <w:jc w:val="both"/>
        <w:rPr>
          <w:rFonts w:hint="eastAsia" w:ascii="仿宋" w:hAnsi="仿宋" w:eastAsia="仿宋" w:cs="仿宋"/>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合理确定绩效目标。</w:t>
      </w:r>
      <w:r>
        <w:rPr>
          <w:rFonts w:hint="eastAsia" w:ascii="仿宋" w:hAnsi="仿宋" w:eastAsia="仿宋" w:cs="仿宋"/>
          <w:kern w:val="2"/>
          <w:sz w:val="32"/>
          <w:szCs w:val="32"/>
          <w:lang w:val="en-US" w:eastAsia="zh-CN" w:bidi="ar-SA"/>
        </w:rPr>
        <w:t>将绩效目标设置作为预算安排前置环节，采取“绩效股+主管部门+资金管理股室”三方会审形式，对全县136个预算单位2022年绩效目标进行实质性审核。</w:t>
      </w:r>
    </w:p>
    <w:p>
      <w:pPr>
        <w:ind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sz w:val="32"/>
          <w:szCs w:val="32"/>
          <w:lang w:val="en-US" w:eastAsia="zh-CN"/>
        </w:rPr>
        <w:t>2、</w:t>
      </w:r>
      <w:r>
        <w:rPr>
          <w:rFonts w:hint="eastAsia" w:ascii="仿宋" w:hAnsi="仿宋" w:eastAsia="仿宋" w:cs="仿宋"/>
          <w:b/>
          <w:sz w:val="32"/>
          <w:szCs w:val="32"/>
        </w:rPr>
        <w:t>严格开展绩效评估。</w:t>
      </w:r>
      <w:r>
        <w:rPr>
          <w:rFonts w:hint="eastAsia" w:ascii="仿宋" w:hAnsi="仿宋" w:eastAsia="仿宋" w:cs="仿宋"/>
          <w:kern w:val="2"/>
          <w:sz w:val="32"/>
          <w:szCs w:val="32"/>
          <w:lang w:val="en-US" w:eastAsia="zh-CN" w:bidi="ar-SA"/>
        </w:rPr>
        <w:t>实施自评、互评、外部评价“三结合”，全面客观评估资金使用绩效。推动部门整体支出绩效目标管理、绩效自评工作质量、预算支出财政重点绩效评价结果、绩效评价发现问题的整改落实、协税护税、政府采购等纳入对政府绩效评估考核指标，提升部门加强预算绩效管理主动性和自觉性。</w:t>
      </w:r>
    </w:p>
    <w:p>
      <w:pPr>
        <w:ind w:firstLine="643" w:firstLineChars="200"/>
        <w:jc w:val="both"/>
        <w:rPr>
          <w:rFonts w:hint="eastAsia" w:eastAsia="仿宋_GB2312"/>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加强财政审计联动。</w:t>
      </w:r>
      <w:r>
        <w:rPr>
          <w:rFonts w:hint="eastAsia" w:ascii="仿宋" w:hAnsi="仿宋" w:eastAsia="仿宋" w:cs="仿宋"/>
          <w:sz w:val="32"/>
          <w:szCs w:val="32"/>
        </w:rPr>
        <w:t>建立“指标共商、信息共享、工作共推、成果共用”财政审计协同联动机制，强化绩效评价结果与预算安排联动，切实做到高效支出加力保障，低效支出大幅压减，无效支出坚决取消。</w:t>
      </w:r>
    </w:p>
    <w:p>
      <w:pPr>
        <w:numPr>
          <w:ilvl w:val="0"/>
          <w:numId w:val="0"/>
        </w:numPr>
        <w:spacing w:line="600" w:lineRule="exact"/>
        <w:ind w:firstLine="640" w:firstLineChars="200"/>
        <w:rPr>
          <w:rFonts w:hint="eastAsia" w:eastAsia="黑体"/>
          <w:sz w:val="32"/>
          <w:szCs w:val="32"/>
          <w:lang w:eastAsia="zh-CN"/>
        </w:rPr>
      </w:pPr>
      <w:r>
        <w:rPr>
          <w:rFonts w:hint="eastAsia" w:eastAsia="黑体"/>
          <w:sz w:val="32"/>
          <w:szCs w:val="32"/>
          <w:lang w:eastAsia="zh-CN"/>
        </w:rPr>
        <w:t>九</w:t>
      </w:r>
      <w:r>
        <w:rPr>
          <w:rFonts w:hint="eastAsia" w:eastAsia="黑体"/>
          <w:sz w:val="32"/>
          <w:szCs w:val="32"/>
        </w:rPr>
        <w:t>、</w:t>
      </w:r>
      <w:r>
        <w:rPr>
          <w:rFonts w:hint="eastAsia" w:eastAsia="黑体"/>
          <w:sz w:val="32"/>
          <w:szCs w:val="32"/>
          <w:lang w:val="en-US" w:eastAsia="zh-CN"/>
        </w:rPr>
        <w:t>统筹整合使用财政涉农</w:t>
      </w:r>
      <w:bookmarkStart w:id="0" w:name="_GoBack"/>
      <w:bookmarkEnd w:id="0"/>
      <w:r>
        <w:rPr>
          <w:rFonts w:hint="eastAsia" w:eastAsia="黑体"/>
          <w:sz w:val="32"/>
          <w:szCs w:val="32"/>
          <w:lang w:eastAsia="zh-CN"/>
        </w:rPr>
        <w:t>资金投入情况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为了巩固脱贫攻坚成果同乡村振兴的有效衔接</w:t>
      </w:r>
      <w:r>
        <w:rPr>
          <w:rFonts w:hint="eastAsia" w:ascii="仿宋" w:hAnsi="仿宋" w:eastAsia="仿宋" w:cs="仿宋"/>
          <w:sz w:val="32"/>
          <w:szCs w:val="32"/>
          <w:lang w:val="en-US" w:eastAsia="zh-CN"/>
        </w:rPr>
        <w:t>，</w:t>
      </w:r>
      <w:r>
        <w:rPr>
          <w:rFonts w:hint="eastAsia" w:ascii="仿宋" w:hAnsi="仿宋" w:eastAsia="仿宋" w:cs="仿宋"/>
          <w:sz w:val="32"/>
          <w:szCs w:val="32"/>
        </w:rPr>
        <w:t>集中财 力支持乡村振兴</w:t>
      </w:r>
      <w:r>
        <w:rPr>
          <w:rFonts w:hint="eastAsia" w:ascii="仿宋" w:hAnsi="仿宋" w:eastAsia="仿宋" w:cs="仿宋"/>
          <w:sz w:val="32"/>
          <w:szCs w:val="32"/>
          <w:lang w:eastAsia="zh-CN"/>
        </w:rPr>
        <w:t>，</w:t>
      </w:r>
      <w:r>
        <w:rPr>
          <w:rFonts w:hint="eastAsia" w:ascii="仿宋" w:hAnsi="仿宋" w:eastAsia="仿宋" w:cs="仿宋"/>
          <w:sz w:val="32"/>
          <w:szCs w:val="32"/>
        </w:rPr>
        <w:t>提高财政涉农资金在乡村振兴工作领域的 使用效益,根据省财政厅</w:t>
      </w:r>
      <w:r>
        <w:rPr>
          <w:rFonts w:hint="eastAsia" w:ascii="仿宋" w:hAnsi="仿宋" w:eastAsia="仿宋" w:cs="仿宋"/>
          <w:sz w:val="32"/>
          <w:szCs w:val="32"/>
          <w:lang w:eastAsia="zh-CN"/>
        </w:rPr>
        <w:t>、</w:t>
      </w:r>
      <w:r>
        <w:rPr>
          <w:rFonts w:hint="eastAsia" w:ascii="仿宋" w:hAnsi="仿宋" w:eastAsia="仿宋" w:cs="仿宋"/>
          <w:sz w:val="32"/>
          <w:szCs w:val="32"/>
        </w:rPr>
        <w:t>省乡村振兴局等13厅局联合印发的《关于继续支持脱贫县统筹整合使用财政涉农资金工作的通知》（湘财农〔2021〕18 号）文件要求</w:t>
      </w:r>
      <w:r>
        <w:rPr>
          <w:rFonts w:hint="eastAsia" w:ascii="仿宋" w:hAnsi="仿宋" w:eastAsia="仿宋" w:cs="仿宋"/>
          <w:sz w:val="32"/>
          <w:szCs w:val="32"/>
          <w:lang w:eastAsia="zh-CN"/>
        </w:rPr>
        <w:t>，</w:t>
      </w:r>
      <w:r>
        <w:rPr>
          <w:rFonts w:hint="eastAsia" w:ascii="仿宋" w:hAnsi="仿宋" w:eastAsia="仿宋" w:cs="仿宋"/>
          <w:sz w:val="32"/>
          <w:szCs w:val="32"/>
        </w:rPr>
        <w:t>结合我县2021 年巩固脱贫攻坚成果及推进乡村振兴建设工作实际，</w:t>
      </w:r>
      <w:r>
        <w:rPr>
          <w:rFonts w:hint="eastAsia" w:ascii="仿宋" w:hAnsi="仿宋" w:eastAsia="仿宋" w:cs="Times New Roman"/>
          <w:color w:val="333333"/>
          <w:sz w:val="32"/>
          <w:szCs w:val="32"/>
          <w:shd w:val="clear" w:color="auto" w:fill="FFFFFF"/>
          <w:lang w:val="en-US" w:eastAsia="zh-CN"/>
        </w:rPr>
        <w:t>出台了《绥宁县2022年统筹整合使用财政涉农资金方案》</w:t>
      </w:r>
      <w:r>
        <w:rPr>
          <w:rFonts w:hint="eastAsia" w:ascii="仿宋" w:hAnsi="仿宋" w:eastAsia="仿宋" w:cs="仿宋"/>
          <w:sz w:val="32"/>
          <w:szCs w:val="32"/>
          <w:lang w:eastAsia="zh-CN"/>
        </w:rPr>
        <w:t>，</w:t>
      </w:r>
      <w:r>
        <w:rPr>
          <w:rFonts w:hint="eastAsia" w:ascii="仿宋" w:hAnsi="仿宋" w:eastAsia="仿宋" w:cs="Times New Roman"/>
          <w:color w:val="333333"/>
          <w:sz w:val="32"/>
          <w:szCs w:val="32"/>
          <w:shd w:val="clear" w:color="auto" w:fill="FFFFFF"/>
          <w:lang w:val="en-US" w:eastAsia="zh-CN"/>
        </w:rPr>
        <w:t>根据方案</w:t>
      </w:r>
      <w:r>
        <w:rPr>
          <w:rFonts w:hint="eastAsia" w:ascii="仿宋" w:hAnsi="仿宋" w:eastAsia="仿宋" w:cs="仿宋"/>
          <w:sz w:val="32"/>
          <w:szCs w:val="32"/>
        </w:rPr>
        <w:t>方案全县共统筹整合使用财政涉农资金 21058.07万元，整合资金使用投入方向和重点目标任务为：</w:t>
      </w:r>
    </w:p>
    <w:p>
      <w:pPr>
        <w:numPr>
          <w:ilvl w:val="0"/>
          <w:numId w:val="0"/>
        </w:num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农业生产发展11668.1万元。</w:t>
      </w:r>
      <w:r>
        <w:rPr>
          <w:rFonts w:hint="eastAsia" w:ascii="仿宋" w:hAnsi="仿宋" w:eastAsia="仿宋" w:cs="仿宋"/>
          <w:sz w:val="32"/>
          <w:szCs w:val="32"/>
        </w:rPr>
        <w:t xml:space="preserve">主要用于支持全县种养加等产业发展、小额信贷贴息、产业技能培训和农产品品牌建设、高标准农田建设、扶持村级集体经济产业等产业项目的建设，进一步巩固脱贫攻坚成果和发展乡村产业。 </w:t>
      </w:r>
    </w:p>
    <w:p>
      <w:pPr>
        <w:numPr>
          <w:ilvl w:val="0"/>
          <w:numId w:val="0"/>
        </w:numPr>
        <w:ind w:firstLine="643" w:firstLineChars="200"/>
        <w:rPr>
          <w:rFonts w:hint="eastAsia" w:eastAsia="仿宋_GB2312"/>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农村基础设施建设5019.97万元。</w:t>
      </w:r>
      <w:r>
        <w:rPr>
          <w:rFonts w:hint="eastAsia" w:ascii="仿宋" w:hAnsi="仿宋" w:eastAsia="仿宋" w:cs="仿宋"/>
          <w:sz w:val="32"/>
          <w:szCs w:val="32"/>
        </w:rPr>
        <w:t>主要用于农村道路建设、农村水利设施建设、重点村基础设施建设、农村基础设施补短板项目、农村危房改造等，进一步改善农村基础设施条件，推进乡村建设。</w:t>
      </w:r>
    </w:p>
    <w:p>
      <w:pPr>
        <w:numPr>
          <w:ilvl w:val="0"/>
          <w:numId w:val="0"/>
        </w:num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农村人居环境整治3770万元。</w:t>
      </w:r>
      <w:r>
        <w:rPr>
          <w:rFonts w:hint="eastAsia" w:ascii="仿宋" w:hAnsi="仿宋" w:eastAsia="仿宋" w:cs="仿宋"/>
          <w:sz w:val="32"/>
          <w:szCs w:val="32"/>
        </w:rPr>
        <w:t xml:space="preserve">主要用于垃圾中转站及垃圾清运、农村集污处理、农村改厕、公益性岗位（农村保洁员）等，改善农村人居环境，建设美丽宜居乡村。 </w:t>
      </w:r>
    </w:p>
    <w:p>
      <w:pPr>
        <w:numPr>
          <w:ilvl w:val="0"/>
          <w:numId w:val="0"/>
        </w:numPr>
        <w:ind w:firstLine="643" w:firstLineChars="200"/>
        <w:rPr>
          <w:rFonts w:hint="eastAsia" w:eastAsia="仿宋_GB2312"/>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雨露计划600万元。</w:t>
      </w:r>
      <w:r>
        <w:rPr>
          <w:rFonts w:hint="eastAsia" w:ascii="仿宋" w:hAnsi="仿宋" w:eastAsia="仿宋" w:cs="仿宋"/>
          <w:sz w:val="32"/>
          <w:szCs w:val="32"/>
        </w:rPr>
        <w:t>用于贫困家庭子女雨露计划补助，由县乡村振兴局组织落实到位。</w:t>
      </w:r>
    </w:p>
    <w:p>
      <w:pPr>
        <w:numPr>
          <w:ilvl w:val="0"/>
          <w:numId w:val="0"/>
        </w:numPr>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十、“三公”经费预算安排说明</w:t>
      </w:r>
    </w:p>
    <w:p>
      <w:pPr>
        <w:ind w:firstLine="640" w:firstLineChars="200"/>
        <w:rPr>
          <w:rFonts w:hint="eastAsia" w:ascii="仿宋" w:hAnsi="仿宋" w:eastAsia="仿宋" w:cs="Times New Roman"/>
          <w:color w:val="333333"/>
          <w:sz w:val="32"/>
          <w:szCs w:val="32"/>
          <w:shd w:val="clear" w:color="auto" w:fill="FFFFFF"/>
          <w:lang w:val="en-US" w:eastAsia="zh-CN"/>
        </w:rPr>
      </w:pPr>
      <w:r>
        <w:rPr>
          <w:rFonts w:hint="eastAsia" w:ascii="仿宋" w:hAnsi="仿宋" w:eastAsia="仿宋" w:cs="Times New Roman"/>
          <w:color w:val="333333"/>
          <w:sz w:val="32"/>
          <w:szCs w:val="32"/>
          <w:shd w:val="clear" w:color="auto" w:fill="FFFFFF"/>
          <w:lang w:val="en-US" w:eastAsia="zh-CN"/>
        </w:rPr>
        <w:t>根据中央、省、市关于推进预算信息公开的决策部署和县政府工作安排，经绥宁县财政局汇总，2022年度绥宁县“三公”经费预算，包括县级行政单位（含参照公务员法管理的事业单位）、事业单位、各乡镇人民政府和其他单位使用当年公共财政拨款(包括公共财政经费拨款和纳入公共财政管理的非税收入)安排的因公出国（境）经费、公务接待费、公务用车购置及运行费情况如下：</w:t>
      </w:r>
    </w:p>
    <w:p>
      <w:pPr>
        <w:ind w:firstLine="640" w:firstLineChars="200"/>
        <w:rPr>
          <w:rFonts w:hint="eastAsia" w:ascii="仿宋" w:hAnsi="仿宋" w:eastAsia="仿宋" w:cs="Times New Roman"/>
          <w:color w:val="333333"/>
          <w:sz w:val="32"/>
          <w:szCs w:val="32"/>
          <w:shd w:val="clear" w:color="auto" w:fill="FFFFFF"/>
          <w:lang w:val="en-US" w:eastAsia="zh-CN"/>
        </w:rPr>
      </w:pPr>
      <w:r>
        <w:rPr>
          <w:rFonts w:hint="eastAsia" w:ascii="仿宋" w:hAnsi="仿宋" w:eastAsia="仿宋" w:cs="Times New Roman"/>
          <w:color w:val="333333"/>
          <w:sz w:val="32"/>
          <w:szCs w:val="32"/>
          <w:shd w:val="clear" w:color="auto" w:fill="FFFFFF"/>
          <w:lang w:val="en-US" w:eastAsia="zh-CN"/>
        </w:rPr>
        <w:t>2022年度“三公”经费预算总额为1583万元，比上年预算数减少696万元，分项情况是：1、因公出国(境)经费预算数为0万元，比上年预算数减少0万元；2、公务接待费预算数356万元，比上年预算数减少430万元；3、公务用车运行费预算数1227万元，比上年预算数减少86万元；4、公务用车购置预算数0万元，比上年预算数减少180万元。</w:t>
      </w:r>
    </w:p>
    <w:tbl>
      <w:tblPr>
        <w:tblStyle w:val="6"/>
        <w:tblW w:w="8663" w:type="dxa"/>
        <w:tblInd w:w="0" w:type="dxa"/>
        <w:shd w:val="clear" w:color="auto" w:fill="auto"/>
        <w:tblLayout w:type="fixed"/>
        <w:tblCellMar>
          <w:top w:w="0" w:type="dxa"/>
          <w:left w:w="0" w:type="dxa"/>
          <w:bottom w:w="0" w:type="dxa"/>
          <w:right w:w="0" w:type="dxa"/>
        </w:tblCellMar>
      </w:tblPr>
      <w:tblGrid>
        <w:gridCol w:w="998"/>
        <w:gridCol w:w="960"/>
        <w:gridCol w:w="975"/>
        <w:gridCol w:w="1185"/>
        <w:gridCol w:w="1665"/>
        <w:gridCol w:w="1575"/>
        <w:gridCol w:w="1305"/>
      </w:tblGrid>
      <w:tr>
        <w:tblPrEx>
          <w:shd w:val="clear" w:color="auto" w:fill="auto"/>
          <w:tblCellMar>
            <w:top w:w="0" w:type="dxa"/>
            <w:left w:w="0" w:type="dxa"/>
            <w:bottom w:w="0" w:type="dxa"/>
            <w:right w:w="0" w:type="dxa"/>
          </w:tblCellMar>
        </w:tblPrEx>
        <w:trPr>
          <w:trHeight w:val="780" w:hRule="atLeast"/>
        </w:trPr>
        <w:tc>
          <w:tcPr>
            <w:tcW w:w="9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766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三公经费预算数</w:t>
            </w:r>
          </w:p>
        </w:tc>
      </w:tr>
      <w:tr>
        <w:tblPrEx>
          <w:shd w:val="clear" w:color="auto" w:fill="auto"/>
          <w:tblCellMar>
            <w:top w:w="0" w:type="dxa"/>
            <w:left w:w="0" w:type="dxa"/>
            <w:bottom w:w="0" w:type="dxa"/>
            <w:right w:w="0" w:type="dxa"/>
          </w:tblCellMar>
        </w:tblPrEx>
        <w:trPr>
          <w:trHeight w:val="675" w:hRule="atLeast"/>
        </w:trPr>
        <w:tc>
          <w:tcPr>
            <w:tcW w:w="9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i w:val="0"/>
                <w:color w:val="000000"/>
                <w:sz w:val="20"/>
                <w:szCs w:val="20"/>
                <w:u w:val="none"/>
              </w:rPr>
            </w:pP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因公出国(境)费用</w:t>
            </w:r>
          </w:p>
        </w:tc>
      </w:tr>
      <w:tr>
        <w:tblPrEx>
          <w:shd w:val="clear" w:color="auto" w:fill="auto"/>
          <w:tblCellMar>
            <w:top w:w="0" w:type="dxa"/>
            <w:left w:w="0" w:type="dxa"/>
            <w:bottom w:w="0" w:type="dxa"/>
            <w:right w:w="0" w:type="dxa"/>
          </w:tblCellMar>
        </w:tblPrEx>
        <w:trPr>
          <w:trHeight w:val="480" w:hRule="atLeast"/>
        </w:trPr>
        <w:tc>
          <w:tcPr>
            <w:tcW w:w="9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i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公务用车运行维护费</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5" w:hRule="atLeast"/>
        </w:trPr>
        <w:tc>
          <w:tcPr>
            <w:tcW w:w="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绥宁县</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1583</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356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1227</w:t>
            </w:r>
          </w:p>
        </w:tc>
        <w:tc>
          <w:tcPr>
            <w:tcW w:w="1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1227</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bl>
    <w:p>
      <w:pPr>
        <w:ind w:firstLine="640" w:firstLineChars="200"/>
        <w:rPr>
          <w:rFonts w:hint="eastAsia" w:ascii="仿宋" w:hAnsi="仿宋" w:eastAsia="仿宋" w:cs="Times New Roman"/>
          <w:color w:val="333333"/>
          <w:sz w:val="32"/>
          <w:szCs w:val="32"/>
          <w:shd w:val="clear" w:color="auto" w:fill="FFFFFF"/>
          <w:lang w:val="en-US" w:eastAsia="zh-CN"/>
        </w:rPr>
      </w:pPr>
    </w:p>
    <w:p>
      <w:pPr>
        <w:numPr>
          <w:ilvl w:val="0"/>
          <w:numId w:val="0"/>
        </w:numPr>
        <w:spacing w:line="600" w:lineRule="exact"/>
        <w:ind w:firstLine="600" w:firstLineChars="200"/>
        <w:rPr>
          <w:rFonts w:hint="eastAsia" w:eastAsia="黑体"/>
          <w:sz w:val="30"/>
          <w:szCs w:val="30"/>
          <w:lang w:val="en-US" w:eastAsia="zh-CN"/>
        </w:rPr>
      </w:pPr>
      <w:r>
        <w:rPr>
          <w:rFonts w:hint="eastAsia" w:eastAsia="黑体"/>
          <w:sz w:val="30"/>
          <w:szCs w:val="30"/>
          <w:lang w:val="en-US" w:eastAsia="zh-CN"/>
        </w:rPr>
        <w:t>十一、名词解释</w:t>
      </w:r>
    </w:p>
    <w:p>
      <w:pPr>
        <w:numPr>
          <w:ilvl w:val="0"/>
          <w:numId w:val="0"/>
        </w:numPr>
        <w:spacing w:line="600" w:lineRule="exact"/>
        <w:ind w:firstLine="600" w:firstLineChars="2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1、一般公共预算：是对以税收为主体的财政收入，安排用于保障和改善民生、推动经济社会发展、维护国家安全、维持国家机构正常运转等方面的收支预算，即通常所指的地方财政收入（公共财政预算收入）和地方财政支出（公共财政预算支出）概念。</w:t>
      </w:r>
    </w:p>
    <w:p>
      <w:pPr>
        <w:numPr>
          <w:ilvl w:val="0"/>
          <w:numId w:val="0"/>
        </w:numPr>
        <w:spacing w:line="600" w:lineRule="exact"/>
        <w:ind w:firstLine="600" w:firstLineChars="2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政府性基金预算：是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numPr>
          <w:ilvl w:val="0"/>
          <w:numId w:val="0"/>
        </w:numPr>
        <w:spacing w:line="600" w:lineRule="exact"/>
        <w:ind w:firstLine="600" w:firstLineChars="2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3、社会保险基金预算：是对社会保险缴款、一般公共预算安排和其他方式筹集的资金，专项用于社会保险的收支预算。社会保险基金预算应当按照统筹层次和社会保险项目分别编制，做到收支平衡。</w:t>
      </w:r>
    </w:p>
    <w:p>
      <w:pPr>
        <w:numPr>
          <w:ilvl w:val="0"/>
          <w:numId w:val="0"/>
        </w:numPr>
        <w:spacing w:line="600" w:lineRule="exact"/>
        <w:ind w:firstLine="600" w:firstLineChars="2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4、国有资本经营预算是政府以所有者身份依法取得国有资本收益，并对所得收益进行分配而发生的各项收支预算，是政府预算的重要组成部分。</w:t>
      </w:r>
    </w:p>
    <w:p>
      <w:pPr>
        <w:ind w:firstLine="640" w:firstLineChars="200"/>
        <w:rPr>
          <w:rFonts w:hint="eastAsia" w:ascii="仿宋" w:hAnsi="仿宋" w:eastAsia="仿宋" w:cs="Times New Roman"/>
          <w:color w:val="333333"/>
          <w:sz w:val="32"/>
          <w:szCs w:val="32"/>
          <w:shd w:val="clear" w:color="auto" w:fill="FFFFFF"/>
          <w:lang w:val="en-US" w:eastAsia="zh-CN"/>
        </w:rPr>
      </w:pPr>
    </w:p>
    <w:p>
      <w:pPr>
        <w:ind w:firstLine="640" w:firstLineChars="200"/>
        <w:rPr>
          <w:rFonts w:hint="eastAsia" w:ascii="仿宋" w:hAnsi="仿宋" w:eastAsia="仿宋" w:cs="Times New Roman"/>
          <w:color w:val="333333"/>
          <w:sz w:val="32"/>
          <w:szCs w:val="32"/>
          <w:shd w:val="clear" w:color="auto"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8284001"/>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BEF8B8"/>
    <w:multiLevelType w:val="singleLevel"/>
    <w:tmpl w:val="56BEF8B8"/>
    <w:lvl w:ilvl="0" w:tentative="0">
      <w:start w:val="8"/>
      <w:numFmt w:val="chineseCounting"/>
      <w:suff w:val="nothing"/>
      <w:lvlText w:val="%1、"/>
      <w:lvlJc w:val="left"/>
      <w:rPr>
        <w:rFonts w:hint="eastAsia"/>
      </w:rPr>
    </w:lvl>
  </w:abstractNum>
  <w:abstractNum w:abstractNumId="1">
    <w:nsid w:val="65E19F13"/>
    <w:multiLevelType w:val="singleLevel"/>
    <w:tmpl w:val="65E19F1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NzIzYWZhMjZjZDJkMmExNWQ2YjIzZjg4YWY0N2QifQ=="/>
  </w:docVars>
  <w:rsids>
    <w:rsidRoot w:val="000B6AE1"/>
    <w:rsid w:val="00015CD9"/>
    <w:rsid w:val="000557EB"/>
    <w:rsid w:val="00070AE5"/>
    <w:rsid w:val="00093D7A"/>
    <w:rsid w:val="000A1A30"/>
    <w:rsid w:val="000B6AE1"/>
    <w:rsid w:val="000D4BD7"/>
    <w:rsid w:val="000F7E78"/>
    <w:rsid w:val="00100C5C"/>
    <w:rsid w:val="00155121"/>
    <w:rsid w:val="00176204"/>
    <w:rsid w:val="001A0286"/>
    <w:rsid w:val="001C68F0"/>
    <w:rsid w:val="001D4771"/>
    <w:rsid w:val="001F273F"/>
    <w:rsid w:val="00203D10"/>
    <w:rsid w:val="0021061B"/>
    <w:rsid w:val="00216247"/>
    <w:rsid w:val="002E1DEC"/>
    <w:rsid w:val="002E267D"/>
    <w:rsid w:val="002F2CE5"/>
    <w:rsid w:val="003175C7"/>
    <w:rsid w:val="0035079C"/>
    <w:rsid w:val="00351616"/>
    <w:rsid w:val="00355CE0"/>
    <w:rsid w:val="0035791F"/>
    <w:rsid w:val="003659B7"/>
    <w:rsid w:val="00382858"/>
    <w:rsid w:val="003A3FC8"/>
    <w:rsid w:val="003B5D1D"/>
    <w:rsid w:val="003C4369"/>
    <w:rsid w:val="00443FA5"/>
    <w:rsid w:val="004462AC"/>
    <w:rsid w:val="00446714"/>
    <w:rsid w:val="00447E96"/>
    <w:rsid w:val="00452FBE"/>
    <w:rsid w:val="004A5428"/>
    <w:rsid w:val="004B21D0"/>
    <w:rsid w:val="004B403D"/>
    <w:rsid w:val="004B4C07"/>
    <w:rsid w:val="004B62D2"/>
    <w:rsid w:val="004C4EFA"/>
    <w:rsid w:val="004C619C"/>
    <w:rsid w:val="004F0050"/>
    <w:rsid w:val="0050636A"/>
    <w:rsid w:val="00511BC0"/>
    <w:rsid w:val="005263DE"/>
    <w:rsid w:val="00560BE9"/>
    <w:rsid w:val="005926BE"/>
    <w:rsid w:val="005F022A"/>
    <w:rsid w:val="00611600"/>
    <w:rsid w:val="00621496"/>
    <w:rsid w:val="00631336"/>
    <w:rsid w:val="00635833"/>
    <w:rsid w:val="006651BB"/>
    <w:rsid w:val="00681BF9"/>
    <w:rsid w:val="006A3D3E"/>
    <w:rsid w:val="007422FC"/>
    <w:rsid w:val="0076337D"/>
    <w:rsid w:val="00787EE1"/>
    <w:rsid w:val="007929C0"/>
    <w:rsid w:val="007C10C5"/>
    <w:rsid w:val="00837699"/>
    <w:rsid w:val="00850492"/>
    <w:rsid w:val="00896E93"/>
    <w:rsid w:val="008A41A6"/>
    <w:rsid w:val="008A5F48"/>
    <w:rsid w:val="008B683D"/>
    <w:rsid w:val="008E16D0"/>
    <w:rsid w:val="008F3686"/>
    <w:rsid w:val="00925293"/>
    <w:rsid w:val="00954F24"/>
    <w:rsid w:val="009553BB"/>
    <w:rsid w:val="00963776"/>
    <w:rsid w:val="009962EF"/>
    <w:rsid w:val="009A6349"/>
    <w:rsid w:val="00A14862"/>
    <w:rsid w:val="00A32BC1"/>
    <w:rsid w:val="00A376A1"/>
    <w:rsid w:val="00A6327A"/>
    <w:rsid w:val="00A958EF"/>
    <w:rsid w:val="00AA012D"/>
    <w:rsid w:val="00AF23FF"/>
    <w:rsid w:val="00C012CE"/>
    <w:rsid w:val="00C05C96"/>
    <w:rsid w:val="00C17130"/>
    <w:rsid w:val="00C30CD7"/>
    <w:rsid w:val="00C35D3E"/>
    <w:rsid w:val="00C45E36"/>
    <w:rsid w:val="00C53849"/>
    <w:rsid w:val="00C809CB"/>
    <w:rsid w:val="00CA324F"/>
    <w:rsid w:val="00D01ACA"/>
    <w:rsid w:val="00D1072F"/>
    <w:rsid w:val="00D46030"/>
    <w:rsid w:val="00DB6E6F"/>
    <w:rsid w:val="00DC7C04"/>
    <w:rsid w:val="00E23C25"/>
    <w:rsid w:val="00E26879"/>
    <w:rsid w:val="00E36C70"/>
    <w:rsid w:val="00E460F8"/>
    <w:rsid w:val="00E543E2"/>
    <w:rsid w:val="00EA0CD7"/>
    <w:rsid w:val="00EE1954"/>
    <w:rsid w:val="00EE2F2B"/>
    <w:rsid w:val="00EE7B7E"/>
    <w:rsid w:val="00F20035"/>
    <w:rsid w:val="00F2588F"/>
    <w:rsid w:val="00F4417A"/>
    <w:rsid w:val="00F501D7"/>
    <w:rsid w:val="00F85B3E"/>
    <w:rsid w:val="00F86DC9"/>
    <w:rsid w:val="00F958DD"/>
    <w:rsid w:val="01415262"/>
    <w:rsid w:val="01B956B2"/>
    <w:rsid w:val="07671159"/>
    <w:rsid w:val="10F6799C"/>
    <w:rsid w:val="189E1E19"/>
    <w:rsid w:val="193B69D2"/>
    <w:rsid w:val="1C0B0DF4"/>
    <w:rsid w:val="1FAE79D2"/>
    <w:rsid w:val="22BE4A62"/>
    <w:rsid w:val="22F734EE"/>
    <w:rsid w:val="23E96B96"/>
    <w:rsid w:val="2BD50B46"/>
    <w:rsid w:val="37F37C9C"/>
    <w:rsid w:val="37FC1210"/>
    <w:rsid w:val="38721508"/>
    <w:rsid w:val="3D251467"/>
    <w:rsid w:val="47F75C42"/>
    <w:rsid w:val="4B105DBC"/>
    <w:rsid w:val="4BD85EAE"/>
    <w:rsid w:val="4D63491B"/>
    <w:rsid w:val="58E24DCC"/>
    <w:rsid w:val="626B75C6"/>
    <w:rsid w:val="628E10F7"/>
    <w:rsid w:val="6454492A"/>
    <w:rsid w:val="69907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qFormat/>
    <w:uiPriority w:val="11"/>
    <w:pPr>
      <w:spacing w:before="240" w:after="60" w:line="312" w:lineRule="auto"/>
      <w:jc w:val="center"/>
      <w:outlineLvl w:val="1"/>
    </w:pPr>
    <w:rPr>
      <w:rFonts w:asciiTheme="majorHAnsi" w:hAnsiTheme="majorHAnsi" w:cstheme="majorBidi"/>
      <w:b/>
      <w:bCs/>
      <w:kern w:val="28"/>
      <w:sz w:val="32"/>
      <w:szCs w:val="32"/>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99"/>
    <w:rPr>
      <w:kern w:val="2"/>
      <w:sz w:val="18"/>
      <w:szCs w:val="18"/>
    </w:rPr>
  </w:style>
  <w:style w:type="character" w:customStyle="1" w:styleId="10">
    <w:name w:val="批注框文本 Char"/>
    <w:basedOn w:val="7"/>
    <w:link w:val="2"/>
    <w:qFormat/>
    <w:uiPriority w:val="0"/>
    <w:rPr>
      <w:kern w:val="2"/>
      <w:sz w:val="18"/>
      <w:szCs w:val="18"/>
    </w:rPr>
  </w:style>
  <w:style w:type="paragraph" w:customStyle="1" w:styleId="11">
    <w:name w:val="Char"/>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92E7-EC31-48EA-A162-E5C8DDE5CD2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3568</Words>
  <Characters>3884</Characters>
  <Lines>4</Lines>
  <Paragraphs>7</Paragraphs>
  <TotalTime>2</TotalTime>
  <ScaleCrop>false</ScaleCrop>
  <LinksUpToDate>false</LinksUpToDate>
  <CharactersWithSpaces>3892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2020-02-03T07:22:00Z</dcterms:created>
  <dc:creator>陈杰 null</dc:creator>
  <cp:lastModifiedBy>吴荣荣</cp:lastModifiedBy>
  <cp:lastPrinted>2021-02-08T01:57:00Z</cp:lastPrinted>
  <dcterms:modified xsi:type="dcterms:W3CDTF">2023-03-27T07:42:03Z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135B4F8CB87D439C96BE533FF488017D</vt:lpwstr>
  </property>
</Properties>
</file>