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spacing w:line="600" w:lineRule="exact"/>
        <w:ind w:left="0" w:leftChars="0" w:right="0" w:firstLine="883" w:firstLineChars="200"/>
        <w:jc w:val="both"/>
        <w:textAlignment w:val="auto"/>
        <w:outlineLvl w:val="9"/>
        <w:rPr>
          <w:rFonts w:hint="eastAsia" w:ascii="宋体" w:hAnsi="宋体" w:eastAsia="宋体"/>
          <w:b/>
          <w:sz w:val="44"/>
          <w:szCs w:val="44"/>
          <w:lang w:eastAsia="zh-CN"/>
        </w:rPr>
      </w:pPr>
      <w:bookmarkStart w:id="0" w:name="_GoBack"/>
      <w:r>
        <w:rPr>
          <w:rFonts w:hint="eastAsia" w:ascii="宋体" w:hAnsi="宋体" w:eastAsia="宋体"/>
          <w:b/>
          <w:sz w:val="44"/>
          <w:szCs w:val="44"/>
        </w:rPr>
        <w:t>绥宁县财政局2020年</w:t>
      </w:r>
      <w:r>
        <w:rPr>
          <w:rFonts w:hint="eastAsia" w:ascii="宋体" w:hAnsi="宋体"/>
          <w:b/>
          <w:sz w:val="44"/>
          <w:szCs w:val="44"/>
          <w:lang w:eastAsia="zh-CN"/>
        </w:rPr>
        <w:t>下</w:t>
      </w:r>
      <w:r>
        <w:rPr>
          <w:rFonts w:hint="eastAsia" w:ascii="宋体" w:hAnsi="宋体" w:eastAsia="宋体"/>
          <w:b/>
          <w:sz w:val="44"/>
          <w:szCs w:val="44"/>
        </w:rPr>
        <w:t>半年工作</w:t>
      </w:r>
      <w:r>
        <w:rPr>
          <w:rFonts w:hint="eastAsia" w:ascii="宋体" w:hAnsi="宋体"/>
          <w:b/>
          <w:sz w:val="44"/>
          <w:szCs w:val="44"/>
          <w:lang w:eastAsia="zh-CN"/>
        </w:rPr>
        <w:t>计划</w:t>
      </w:r>
    </w:p>
    <w:p>
      <w:pPr>
        <w:widowControl w:val="0"/>
        <w:wordWrap/>
        <w:spacing w:line="600" w:lineRule="exact"/>
        <w:ind w:left="0" w:leftChars="0" w:right="0" w:firstLine="640" w:firstLineChars="200"/>
        <w:textAlignment w:val="auto"/>
        <w:outlineLvl w:val="9"/>
        <w:rPr>
          <w:rStyle w:val="9"/>
          <w:rFonts w:ascii="仿宋" w:hAnsi="仿宋" w:eastAsia="仿宋"/>
          <w:sz w:val="32"/>
          <w:szCs w:val="32"/>
        </w:rPr>
      </w:pPr>
    </w:p>
    <w:bookmarkEnd w:id="0"/>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eastAsia" w:ascii="仿宋" w:hAnsi="仿宋" w:eastAsia="仿宋" w:cs="仿宋_GB2312"/>
          <w:sz w:val="32"/>
          <w:szCs w:val="32"/>
          <w:lang w:eastAsia="zh-CN"/>
        </w:rPr>
      </w:pPr>
      <w:r>
        <w:rPr>
          <w:rStyle w:val="9"/>
          <w:rFonts w:ascii="仿宋" w:hAnsi="仿宋" w:eastAsia="仿宋"/>
          <w:sz w:val="32"/>
          <w:szCs w:val="32"/>
        </w:rPr>
        <w:t>20</w:t>
      </w:r>
      <w:r>
        <w:rPr>
          <w:rStyle w:val="9"/>
          <w:rFonts w:hint="eastAsia" w:ascii="仿宋" w:hAnsi="仿宋" w:eastAsia="仿宋"/>
          <w:sz w:val="32"/>
          <w:szCs w:val="32"/>
          <w:lang w:val="en-US" w:eastAsia="zh-CN"/>
        </w:rPr>
        <w:t>20</w:t>
      </w:r>
      <w:r>
        <w:rPr>
          <w:rStyle w:val="9"/>
          <w:rFonts w:ascii="仿宋" w:hAnsi="仿宋" w:eastAsia="仿宋"/>
          <w:sz w:val="32"/>
          <w:szCs w:val="32"/>
        </w:rPr>
        <w:t>年以来，我局全面贯彻习近平新时代中国特色社会主义思想和党的十九届三中全会精神，在县委、县政府的正确领导下，在县人大、县政协的监督支持下，紧紧围绕县委、县政府中心工作和重点工作，以省市县委经济工作会议和全省财政工作会议精神为指导，按照高质量发展要求，积极组织财政收入，努力优化支出结构，扎实推进财政改革，不断强化资金监管，切实转变工作作风，各项工作取得了较好成效。</w:t>
      </w:r>
      <w:r>
        <w:rPr>
          <w:rStyle w:val="9"/>
          <w:rFonts w:hint="eastAsia" w:ascii="仿宋" w:hAnsi="仿宋" w:eastAsia="仿宋"/>
          <w:sz w:val="32"/>
          <w:szCs w:val="32"/>
          <w:lang w:eastAsia="zh-CN"/>
        </w:rPr>
        <w:t>为进一步做好下半年财政工作，特制定如下计划。</w:t>
      </w:r>
    </w:p>
    <w:p>
      <w:pPr>
        <w:pStyle w:val="8"/>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w:t>
      </w:r>
      <w:r>
        <w:rPr>
          <w:rFonts w:hint="eastAsia" w:ascii="黑体" w:hAnsi="黑体" w:eastAsia="黑体" w:cs="黑体"/>
          <w:b/>
          <w:sz w:val="32"/>
          <w:szCs w:val="32"/>
        </w:rPr>
        <w:t>加强预算执行管理，确保完成全年目标任务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cs="仿宋"/>
          <w:b/>
          <w:bCs/>
          <w:sz w:val="32"/>
          <w:szCs w:val="32"/>
        </w:rPr>
        <w:t>1.加强收入组织。一是</w:t>
      </w:r>
      <w:r>
        <w:rPr>
          <w:rFonts w:hint="eastAsia" w:ascii="仿宋" w:hAnsi="仿宋" w:eastAsia="仿宋" w:cs="仿宋"/>
          <w:bCs/>
          <w:sz w:val="32"/>
          <w:szCs w:val="32"/>
        </w:rPr>
        <w:t>对照地方一般公共预算收入增长4%的收入目标，积极应对经济下行压力持续加大，减税降费减收效果持续释放等不利因素，主动协调调度，勤征细管，做到应收尽收；切实做好收入调研、调度工作，持续压减非税占比，着力提高收入质量，确保全年财政收入目标完成。</w:t>
      </w:r>
      <w:r>
        <w:rPr>
          <w:rFonts w:hint="eastAsia" w:ascii="仿宋" w:hAnsi="仿宋" w:eastAsia="仿宋" w:cs="仿宋"/>
          <w:b/>
          <w:bCs/>
          <w:sz w:val="32"/>
          <w:szCs w:val="32"/>
        </w:rPr>
        <w:t>二是</w:t>
      </w:r>
      <w:r>
        <w:rPr>
          <w:rFonts w:hint="eastAsia" w:ascii="仿宋" w:hAnsi="仿宋" w:eastAsia="仿宋" w:cs="仿宋"/>
          <w:bCs/>
          <w:sz w:val="32"/>
          <w:szCs w:val="32"/>
        </w:rPr>
        <w:t>积极培植财源，破除收入增长瓶颈。提升传统产业培财源，依托75万亩、1.2亿根楠竹资源，招商引资培植财源。强化财政引导，引导人才、资金、技术等要素向园区聚集，完善工业园区基础设施，进一步增强园区吸引力。加大园区招商，打造“湘商产业园”“135”工程升级版，支持“贵太太”并购重组，建立佧腾电子产业园，推动神龙金康、资龙聚、特沃斯达产达效，加快九通管材项目建设，千方百计增加税源企业。</w:t>
      </w:r>
      <w:r>
        <w:rPr>
          <w:rFonts w:hint="eastAsia" w:ascii="仿宋" w:hAnsi="仿宋" w:eastAsia="仿宋" w:cs="仿宋"/>
          <w:b/>
          <w:bCs/>
          <w:sz w:val="32"/>
          <w:szCs w:val="32"/>
        </w:rPr>
        <w:t>三是</w:t>
      </w:r>
      <w:r>
        <w:rPr>
          <w:rFonts w:hint="eastAsia" w:ascii="仿宋" w:hAnsi="仿宋" w:eastAsia="仿宋" w:cs="仿宋"/>
          <w:bCs/>
          <w:sz w:val="32"/>
          <w:szCs w:val="32"/>
        </w:rPr>
        <w:t>提质增效，唤醒沉睡国有资产。在摸清单位存量国有资产底数基础上，按照“突出重点，先易后难，分步实施”的思路，将各单位闲置房屋、土地等资产分类处置变现或盘活经营，增加财政收入。</w:t>
      </w:r>
      <w:r>
        <w:rPr>
          <w:rFonts w:hint="eastAsia" w:ascii="仿宋" w:hAnsi="仿宋" w:eastAsia="仿宋" w:cs="仿宋"/>
          <w:b/>
          <w:bCs/>
          <w:sz w:val="32"/>
          <w:szCs w:val="32"/>
        </w:rPr>
        <w:t>四是</w:t>
      </w:r>
      <w:r>
        <w:rPr>
          <w:rFonts w:hint="eastAsia" w:ascii="仿宋" w:hAnsi="仿宋" w:eastAsia="仿宋" w:cs="仿宋"/>
          <w:bCs/>
          <w:sz w:val="32"/>
          <w:szCs w:val="32"/>
        </w:rPr>
        <w:t>全力支持抓好城乡建设用地增减挂钩和拆旧复垦，充分利用三调成果抓好土地综合开发。</w:t>
      </w:r>
      <w:r>
        <w:rPr>
          <w:rFonts w:hint="eastAsia" w:ascii="仿宋" w:hAnsi="仿宋" w:eastAsia="仿宋"/>
          <w:kern w:val="0"/>
          <w:sz w:val="32"/>
          <w:szCs w:val="32"/>
        </w:rPr>
        <w:t>今年为了财政收支平衡，政府性基金预算中耕地占补平衡收入3亿元，其中预安排拆旧复垦相关支出1.48亿元，调出1.52亿元用于一般公共预算保“三保”支出，同时，基本建设资金计划也从耕地占补平衡收益中预安排2亿元。耕地占补平衡收入已成为今年财政平稳运行的重要保障。力争上半年实施增减挂钩指标交易5000亩，实现收入7-8亿元，争取下半年交易3000亩，实现收入达到6亿元。</w:t>
      </w:r>
      <w:r>
        <w:rPr>
          <w:rFonts w:hint="eastAsia" w:ascii="仿宋" w:hAnsi="仿宋" w:eastAsia="仿宋"/>
          <w:b/>
          <w:kern w:val="0"/>
          <w:sz w:val="32"/>
          <w:szCs w:val="32"/>
        </w:rPr>
        <w:t>五是</w:t>
      </w:r>
      <w:r>
        <w:rPr>
          <w:rFonts w:hint="eastAsia" w:ascii="仿宋" w:hAnsi="仿宋" w:eastAsia="仿宋"/>
          <w:kern w:val="0"/>
          <w:sz w:val="32"/>
          <w:szCs w:val="32"/>
        </w:rPr>
        <w:t>加快储备土地出让。加强对闲置土地的专项清理，全面盘活闲置土地，对闲置两年以上土地重新处置增加土地收入，对目前储备1587亩土地，积极创造条件加快挂牌出让550亩，预计可实现土地收入1.85亿元。</w:t>
      </w:r>
      <w:r>
        <w:rPr>
          <w:rFonts w:hint="eastAsia" w:ascii="仿宋" w:hAnsi="仿宋" w:eastAsia="仿宋"/>
          <w:b/>
          <w:kern w:val="0"/>
          <w:sz w:val="32"/>
          <w:szCs w:val="32"/>
        </w:rPr>
        <w:t>六是</w:t>
      </w:r>
      <w:r>
        <w:rPr>
          <w:rFonts w:hint="eastAsia" w:ascii="仿宋" w:hAnsi="仿宋" w:eastAsia="仿宋"/>
          <w:kern w:val="0"/>
          <w:sz w:val="32"/>
          <w:szCs w:val="32"/>
        </w:rPr>
        <w:t>全力保障棚改资金，协同推进县四大片区棚改倒房腾地。科学合理利用机械厂、电影院、民族公园15车队、袁家团等191亩土地，加快土地招商和土地出让，扩展房地产开发，既增加土地收入，又增加房地产税源，弥补联合纸厂关闭导致的税收缺口。</w:t>
      </w:r>
      <w:r>
        <w:rPr>
          <w:rFonts w:hint="eastAsia" w:ascii="仿宋" w:hAnsi="仿宋" w:eastAsia="仿宋"/>
          <w:b/>
          <w:kern w:val="0"/>
          <w:sz w:val="32"/>
          <w:szCs w:val="32"/>
        </w:rPr>
        <w:t>七是</w:t>
      </w:r>
      <w:r>
        <w:rPr>
          <w:rFonts w:hint="eastAsia" w:ascii="仿宋" w:hAnsi="仿宋" w:eastAsia="仿宋"/>
          <w:kern w:val="0"/>
          <w:sz w:val="32"/>
          <w:szCs w:val="32"/>
        </w:rPr>
        <w:t>压实县直部门协税护税主体责任，继续加强对征管薄弱环节的管控力度，狠抓财税综合信息共享应用，进一步完善综合治税，加强对原集资房、合伙建房、小产权房欠缴税费清理。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2.加强支出调度。</w:t>
      </w:r>
      <w:r>
        <w:rPr>
          <w:rFonts w:hint="eastAsia" w:ascii="仿宋" w:hAnsi="仿宋" w:eastAsia="仿宋"/>
          <w:kern w:val="0"/>
          <w:sz w:val="32"/>
          <w:szCs w:val="32"/>
        </w:rPr>
        <w:t>2020年安排82575万元基本建设资金，续建项目要尽快形成实物量，新建项目抓紧做好项目前期，争取早日开工建设，确保投资计划完成，保障经济社会向好发展。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3.加强预算执行分析。</w:t>
      </w:r>
      <w:r>
        <w:rPr>
          <w:rFonts w:hint="eastAsia" w:ascii="仿宋" w:hAnsi="仿宋" w:eastAsia="仿宋"/>
          <w:kern w:val="0"/>
          <w:sz w:val="32"/>
          <w:szCs w:val="32"/>
        </w:rPr>
        <w:t>进一步加强财税联动互动机制，完善收入与分月滚动预测机制。加强财政经济运行走势的预研预判，及时提出统筹全年财政收支、促进财政收入增长的对策建议。</w:t>
      </w:r>
    </w:p>
    <w:p>
      <w:pPr>
        <w:pStyle w:val="8"/>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val="en-US" w:eastAsia="zh-CN"/>
        </w:rPr>
        <w:t>.</w:t>
      </w:r>
      <w:r>
        <w:rPr>
          <w:rFonts w:hint="eastAsia" w:ascii="黑体" w:hAnsi="黑体" w:eastAsia="黑体" w:cs="黑体"/>
          <w:b/>
          <w:sz w:val="32"/>
          <w:szCs w:val="32"/>
        </w:rPr>
        <w:t>以压减盘活为重点，加大财政支出结构优化调整力度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1.树立过“紧日子”思想，加大一般性支出压减力度。</w:t>
      </w:r>
      <w:r>
        <w:rPr>
          <w:rFonts w:hint="eastAsia" w:ascii="仿宋" w:hAnsi="仿宋" w:eastAsia="仿宋"/>
          <w:kern w:val="0"/>
          <w:sz w:val="32"/>
          <w:szCs w:val="32"/>
        </w:rPr>
        <w:t>坚持有保有压，安排好支出的先后顺序，大幅压减非一般性支出，树立过“紧日子”思想。</w:t>
      </w:r>
      <w:r>
        <w:rPr>
          <w:rFonts w:ascii="仿宋" w:hAnsi="仿宋" w:eastAsia="仿宋"/>
          <w:sz w:val="32"/>
          <w:szCs w:val="32"/>
        </w:rPr>
        <w:t>在2019年压减10%的基础上，进一步加大一般性支出压减力度。</w:t>
      </w:r>
      <w:r>
        <w:rPr>
          <w:rFonts w:hint="eastAsia" w:ascii="仿宋" w:hAnsi="仿宋" w:eastAsia="仿宋"/>
          <w:kern w:val="0"/>
          <w:sz w:val="32"/>
          <w:szCs w:val="32"/>
        </w:rPr>
        <w:t>继续盘活财政存量资金，把可不再安排的支出节省下来保障好县委县政府各项决策部署落实。2020年拟将压减重点放在非刚性非重点的项目支出上，结合当前预算管理中的薄弱问题，设置绩效评价结果、年初细化程度、预算执行进度为“三大指标”，直接与预算挂钩，对低效无效资金予以削减取消，对细化程度低的专项予以压减，对执行进度慢的资金予以扣回，更加科学合理安排财政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2.以硬化预算约束力为重点，建立财政规范管理新秩序。</w:t>
      </w:r>
      <w:r>
        <w:rPr>
          <w:rFonts w:hint="eastAsia" w:ascii="仿宋" w:hAnsi="仿宋" w:eastAsia="仿宋"/>
          <w:kern w:val="0"/>
          <w:sz w:val="32"/>
          <w:szCs w:val="32"/>
        </w:rPr>
        <w:t>为贯彻落实预算法和中央、省关于加强预算收支管理，硬化预算约束的“负面清单”，切实做到全省财政工作会议上提出的“六条红线”，即“严禁脱离实际虚增收入来源、编制隐性赤字预算；严禁留有“三保”支出硬缺口；严禁超越发展阶段和财力可能出台增支政策、严禁无预算超预算安排支出；严禁违规出借、拨付库款；严禁违规举借和使用债券资金；严禁低效无效使用和浪费财政资金”，严肃财经纪律，提升预算约束刚性，推动全县财政稳健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3.规范财政库款管理，保障财政收支平稳。一是</w:t>
      </w:r>
      <w:r>
        <w:rPr>
          <w:rFonts w:hint="eastAsia" w:ascii="仿宋" w:hAnsi="仿宋" w:eastAsia="仿宋"/>
          <w:kern w:val="0"/>
          <w:sz w:val="32"/>
          <w:szCs w:val="32"/>
        </w:rPr>
        <w:t>加强资金调度管理。动态调控库底资金，始终坚持先“三保”支出，后其他支出的库款保障秩序，认真做好债券还本付息工作。继续抓好库款管理，精细调度，防范支出风险。</w:t>
      </w:r>
      <w:r>
        <w:rPr>
          <w:rFonts w:hint="eastAsia" w:ascii="仿宋" w:hAnsi="仿宋" w:eastAsia="仿宋"/>
          <w:b/>
          <w:kern w:val="0"/>
          <w:sz w:val="32"/>
          <w:szCs w:val="32"/>
        </w:rPr>
        <w:t>二是</w:t>
      </w:r>
      <w:r>
        <w:rPr>
          <w:rFonts w:hint="eastAsia" w:ascii="仿宋" w:hAnsi="仿宋" w:eastAsia="仿宋"/>
          <w:kern w:val="0"/>
          <w:sz w:val="32"/>
          <w:szCs w:val="32"/>
        </w:rPr>
        <w:t>加强财政暂付款清理工作，切实从严控制新增暂付款，严禁将库款用于无预算安排的项目建设，并建立对违规出借库款的倒查和责任追究机制。加大盘活财政存量资金力度，提高结余结转资金清理回收和统筹使用效率。</w:t>
      </w:r>
    </w:p>
    <w:p>
      <w:pPr>
        <w:pStyle w:val="8"/>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三</w:t>
      </w:r>
      <w:r>
        <w:rPr>
          <w:rFonts w:hint="eastAsia" w:ascii="黑体" w:hAnsi="黑体" w:eastAsia="黑体" w:cs="黑体"/>
          <w:b/>
          <w:sz w:val="32"/>
          <w:szCs w:val="32"/>
          <w:lang w:val="en-US" w:eastAsia="zh-CN"/>
        </w:rPr>
        <w:t>.</w:t>
      </w:r>
      <w:r>
        <w:rPr>
          <w:rFonts w:hint="eastAsia" w:ascii="黑体" w:hAnsi="黑体" w:eastAsia="黑体" w:cs="黑体"/>
          <w:b/>
          <w:sz w:val="32"/>
          <w:szCs w:val="32"/>
        </w:rPr>
        <w:t>始终保持战略定力和韧劲，着力打好三大攻坚战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1.全力防控政府债务风险。</w:t>
      </w:r>
      <w:r>
        <w:rPr>
          <w:rFonts w:hint="eastAsia" w:ascii="仿宋" w:hAnsi="仿宋" w:eastAsia="仿宋"/>
          <w:kern w:val="0"/>
          <w:sz w:val="32"/>
          <w:szCs w:val="32"/>
        </w:rPr>
        <w:t>2020年全力以赴打赢打好防范债务风险攻坚战，守住隐性债务不新增，“三保”资金不断链，平台公司不爆雷的底线。</w:t>
      </w:r>
      <w:r>
        <w:rPr>
          <w:rFonts w:hint="eastAsia" w:ascii="仿宋" w:hAnsi="仿宋" w:eastAsia="仿宋"/>
          <w:sz w:val="32"/>
          <w:szCs w:val="32"/>
        </w:rPr>
        <w:t>今年采取三项措施化解部分债务：</w:t>
      </w:r>
      <w:r>
        <w:rPr>
          <w:rFonts w:hint="eastAsia" w:ascii="仿宋" w:hAnsi="仿宋" w:eastAsia="仿宋"/>
          <w:b/>
          <w:sz w:val="32"/>
          <w:szCs w:val="32"/>
        </w:rPr>
        <w:t>一是</w:t>
      </w:r>
      <w:r>
        <w:rPr>
          <w:rFonts w:hint="eastAsia" w:ascii="仿宋" w:hAnsi="仿宋" w:eastAsia="仿宋"/>
          <w:kern w:val="0"/>
          <w:sz w:val="32"/>
          <w:szCs w:val="32"/>
        </w:rPr>
        <w:t>积极争取以新换旧债券置换到期政府债券；</w:t>
      </w:r>
      <w:r>
        <w:rPr>
          <w:rFonts w:hint="eastAsia" w:ascii="仿宋" w:hAnsi="仿宋" w:eastAsia="仿宋"/>
          <w:b/>
          <w:kern w:val="0"/>
          <w:sz w:val="32"/>
          <w:szCs w:val="32"/>
        </w:rPr>
        <w:t>二是</w:t>
      </w:r>
      <w:r>
        <w:rPr>
          <w:rFonts w:hint="eastAsia" w:ascii="仿宋" w:hAnsi="仿宋" w:eastAsia="仿宋"/>
          <w:sz w:val="32"/>
          <w:szCs w:val="32"/>
        </w:rPr>
        <w:t>原城投公司贷款划转调整为企业债务，由企业从经营收入中偿还</w:t>
      </w:r>
      <w:r>
        <w:rPr>
          <w:rFonts w:hint="eastAsia" w:ascii="仿宋" w:hAnsi="仿宋" w:eastAsia="仿宋"/>
          <w:kern w:val="0"/>
          <w:sz w:val="32"/>
          <w:szCs w:val="32"/>
        </w:rPr>
        <w:t>；</w:t>
      </w:r>
      <w:r>
        <w:rPr>
          <w:rFonts w:hint="eastAsia" w:ascii="仿宋" w:hAnsi="仿宋" w:eastAsia="仿宋"/>
          <w:b/>
          <w:kern w:val="0"/>
          <w:sz w:val="32"/>
          <w:szCs w:val="32"/>
        </w:rPr>
        <w:t>三是</w:t>
      </w:r>
      <w:r>
        <w:rPr>
          <w:rFonts w:hint="eastAsia" w:ascii="仿宋" w:hAnsi="仿宋" w:eastAsia="仿宋"/>
          <w:kern w:val="0"/>
          <w:sz w:val="32"/>
          <w:szCs w:val="32"/>
        </w:rPr>
        <w:t>偿债基金和财政预算安排还债。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2.加力推进精准扶贫。</w:t>
      </w:r>
      <w:r>
        <w:rPr>
          <w:rFonts w:hint="eastAsia" w:ascii="仿宋" w:hAnsi="仿宋" w:eastAsia="仿宋"/>
          <w:kern w:val="0"/>
          <w:sz w:val="32"/>
          <w:szCs w:val="32"/>
        </w:rPr>
        <w:t>继续做好脱贫攻坚资金保障，统筹整合涉农资金24767万元，做好涉农整合扶贫专项资金保障，加大扶贫资金监管、扎实开展扶贫专项清理。完善扶贫资金动态监控功能，推进扶贫资金绩效管理，加强全过程动态追踪，加大对绩效结果的应用。</w:t>
      </w:r>
      <w:r>
        <w:rPr>
          <w:rFonts w:ascii="仿宋" w:hAnsi="仿宋" w:eastAsia="仿宋"/>
          <w:kern w:val="0"/>
          <w:sz w:val="32"/>
          <w:szCs w:val="32"/>
        </w:rPr>
        <w:t>抓好</w:t>
      </w:r>
      <w:r>
        <w:rPr>
          <w:rFonts w:hint="eastAsia" w:ascii="仿宋" w:hAnsi="仿宋" w:eastAsia="仿宋"/>
          <w:kern w:val="0"/>
          <w:sz w:val="32"/>
          <w:szCs w:val="32"/>
        </w:rPr>
        <w:t>上级财政</w:t>
      </w:r>
      <w:r>
        <w:rPr>
          <w:rFonts w:ascii="仿宋" w:hAnsi="仿宋" w:eastAsia="仿宋"/>
          <w:kern w:val="0"/>
          <w:sz w:val="32"/>
          <w:szCs w:val="32"/>
        </w:rPr>
        <w:t>资金</w:t>
      </w:r>
      <w:r>
        <w:rPr>
          <w:rFonts w:hint="eastAsia" w:ascii="仿宋" w:hAnsi="仿宋" w:eastAsia="仿宋"/>
          <w:kern w:val="0"/>
          <w:sz w:val="32"/>
          <w:szCs w:val="32"/>
        </w:rPr>
        <w:t>统筹，尽力做到2020年非涉农整合扶贫资金从上级各类资金整合安排，减轻县级财政压力。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仿宋" w:hAnsi="仿宋" w:eastAsia="仿宋"/>
          <w:b/>
          <w:kern w:val="0"/>
          <w:sz w:val="32"/>
          <w:szCs w:val="32"/>
        </w:rPr>
        <w:t>3.大力支持污染防治。</w:t>
      </w:r>
      <w:r>
        <w:rPr>
          <w:rFonts w:hint="eastAsia" w:ascii="仿宋" w:hAnsi="仿宋" w:eastAsia="仿宋"/>
          <w:kern w:val="0"/>
          <w:sz w:val="32"/>
          <w:szCs w:val="32"/>
        </w:rPr>
        <w:t>统筹资金保重点，切实加强污染防治和生态保护修复的资金保障。统筹整合生态环保和自然资源部门资金，筛选一批可实现项目收益和融资自求平衡的生态环保和资源修复项目，争取一定规模专项债券予以支持。支持农村人居环境整治，打造生态宜居美丽乡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黑体" w:hAnsi="黑体" w:eastAsia="黑体" w:cs="黑体"/>
          <w:b/>
          <w:kern w:val="0"/>
          <w:sz w:val="32"/>
          <w:szCs w:val="32"/>
        </w:rPr>
        <w:t>四</w:t>
      </w:r>
      <w:r>
        <w:rPr>
          <w:rFonts w:hint="eastAsia" w:ascii="黑体" w:hAnsi="黑体" w:eastAsia="黑体" w:cs="黑体"/>
          <w:b/>
          <w:kern w:val="0"/>
          <w:sz w:val="32"/>
          <w:szCs w:val="32"/>
          <w:lang w:val="en-US" w:eastAsia="zh-CN"/>
        </w:rPr>
        <w:t>.</w:t>
      </w:r>
      <w:r>
        <w:rPr>
          <w:rFonts w:hint="eastAsia" w:ascii="黑体" w:hAnsi="黑体" w:eastAsia="黑体" w:cs="黑体"/>
          <w:b/>
          <w:kern w:val="0"/>
          <w:sz w:val="32"/>
          <w:szCs w:val="32"/>
        </w:rPr>
        <w:t>发挥财政资金杠杆作用，突出做好财政支持普惠金融发展文章。</w:t>
      </w:r>
      <w:r>
        <w:rPr>
          <w:rFonts w:hint="eastAsia" w:ascii="仿宋" w:hAnsi="仿宋" w:eastAsia="仿宋"/>
          <w:kern w:val="0"/>
          <w:sz w:val="32"/>
          <w:szCs w:val="32"/>
        </w:rPr>
        <w:t>以财政奖补资金为纽带，加强与各部门衔接，推动财政“两民”贷款贴息政策、创业担保贷款贴息政策、农村金融定向费用补贴政策、省县两级信贷风险补偿政策和人民银行支农支小再贷款政策、政策性银行转贷政策等深度整合，着重解决企业“增信”和“贴息”缓解中小微企业融资难、融资贵。进一步促进2020年生猪稳产保供，全县养殖场（户）的能繁母猪保险和育肥猪保险保费中自费部分由县财政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kern w:val="0"/>
          <w:sz w:val="32"/>
          <w:szCs w:val="32"/>
        </w:rPr>
      </w:pPr>
      <w:r>
        <w:rPr>
          <w:rFonts w:hint="eastAsia" w:ascii="黑体" w:hAnsi="黑体" w:eastAsia="黑体" w:cs="黑体"/>
          <w:b/>
          <w:kern w:val="0"/>
          <w:sz w:val="32"/>
          <w:szCs w:val="32"/>
        </w:rPr>
        <w:t>五</w:t>
      </w:r>
      <w:r>
        <w:rPr>
          <w:rFonts w:hint="eastAsia" w:ascii="黑体" w:hAnsi="黑体" w:eastAsia="黑体" w:cs="黑体"/>
          <w:b/>
          <w:kern w:val="0"/>
          <w:sz w:val="32"/>
          <w:szCs w:val="32"/>
          <w:lang w:val="en-US" w:eastAsia="zh-CN"/>
        </w:rPr>
        <w:t>.</w:t>
      </w:r>
      <w:r>
        <w:rPr>
          <w:rFonts w:hint="eastAsia" w:ascii="黑体" w:hAnsi="黑体" w:eastAsia="黑体" w:cs="黑体"/>
          <w:b/>
          <w:kern w:val="0"/>
          <w:sz w:val="32"/>
          <w:szCs w:val="32"/>
        </w:rPr>
        <w:t>积极向上争资金争项目。</w:t>
      </w:r>
      <w:r>
        <w:rPr>
          <w:rFonts w:hint="eastAsia" w:ascii="仿宋" w:hAnsi="仿宋" w:eastAsia="仿宋"/>
          <w:kern w:val="0"/>
          <w:sz w:val="32"/>
          <w:szCs w:val="32"/>
        </w:rPr>
        <w:t>抢抓国家深入推进供给侧结构性改革、湘南湘西承接产业转移示范区建设、脱贫攻坚成果巩固、乡村全面振兴、生态文明建设等发展机遇，协同县直各部门单位，努力争取更多项目和资金落户我县，全年争取上级资金17.34亿元以上，争取债券资金6亿元以上。</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仿宋" w:hAnsi="仿宋" w:eastAsia="仿宋"/>
          <w:sz w:val="32"/>
          <w:szCs w:val="32"/>
        </w:rPr>
      </w:pPr>
      <w:r>
        <w:rPr>
          <w:rFonts w:hint="eastAsia" w:ascii="黑体" w:hAnsi="黑体" w:eastAsia="黑体" w:cs="黑体"/>
          <w:b/>
          <w:kern w:val="0"/>
          <w:sz w:val="32"/>
          <w:szCs w:val="32"/>
        </w:rPr>
        <w:t>六</w:t>
      </w:r>
      <w:r>
        <w:rPr>
          <w:rFonts w:hint="eastAsia" w:ascii="黑体" w:hAnsi="黑体" w:eastAsia="黑体" w:cs="黑体"/>
          <w:b/>
          <w:kern w:val="0"/>
          <w:sz w:val="32"/>
          <w:szCs w:val="32"/>
          <w:lang w:val="en-US" w:eastAsia="zh-CN"/>
        </w:rPr>
        <w:t>.</w:t>
      </w:r>
      <w:r>
        <w:rPr>
          <w:rFonts w:hint="eastAsia" w:ascii="黑体" w:hAnsi="黑体" w:eastAsia="黑体" w:cs="黑体"/>
          <w:b/>
          <w:kern w:val="0"/>
          <w:sz w:val="32"/>
          <w:szCs w:val="32"/>
        </w:rPr>
        <w:t>坚持党建引领，打造高素质干部队伍。</w:t>
      </w:r>
      <w:r>
        <w:rPr>
          <w:rFonts w:hint="eastAsia" w:ascii="仿宋" w:hAnsi="仿宋" w:eastAsia="仿宋" w:cs="仿宋"/>
          <w:sz w:val="32"/>
          <w:szCs w:val="32"/>
        </w:rPr>
        <w:t>财政工作要旗帜鲜明讲政治，要把贯彻落实党的路线、方针、政策以及中央、省委、市委、县委的决策部署，作为根本政治任务，自觉将增强“四个意识”、坚定“四个自信”、做到“两个维护”贯穿于全县财政改革发展的全过程，坚持算政治账、算全局账、算长远账，确保财政工作始终坚持正确的政治方向。认真贯彻落实全省财政工作会议要求，全面推行“三个第一时间”工作理念，不断提高财政工作的主动性和执行力。坚持以思想政治建设为统领，用习近平新时代中国特色社会主义思想武装头脑，增强政治定力；持续推动主题教育成果转化，建立和落实不忘初心、牢记使命的制度；坚持以党支部“五化”建设为主线，夯实党建工作基层基础，持续提升基层党组织凝聚力和战斗力。</w:t>
      </w:r>
      <w:r>
        <w:rPr>
          <w:rFonts w:hint="eastAsia" w:ascii="仿宋" w:hAnsi="仿宋" w:eastAsia="仿宋" w:cs="仿宋"/>
          <w:bCs/>
          <w:sz w:val="32"/>
          <w:szCs w:val="32"/>
        </w:rPr>
        <w:t>狠抓党风廉政建设，</w:t>
      </w:r>
      <w:r>
        <w:rPr>
          <w:rFonts w:hint="eastAsia" w:ascii="仿宋" w:hAnsi="仿宋" w:eastAsia="仿宋"/>
          <w:sz w:val="32"/>
          <w:szCs w:val="32"/>
        </w:rPr>
        <w:t>全面落实从严治党方针，</w:t>
      </w:r>
      <w:r>
        <w:rPr>
          <w:rFonts w:ascii="仿宋" w:hAnsi="仿宋" w:eastAsia="仿宋"/>
          <w:sz w:val="32"/>
          <w:szCs w:val="32"/>
        </w:rPr>
        <w:t>将纪律和规矩挺在前面，持之以恒纠治“四风”，特别要从讲政治的高度整治形式主义、官僚主义。</w:t>
      </w:r>
      <w:r>
        <w:rPr>
          <w:rFonts w:ascii="仿宋" w:hAnsi="仿宋" w:eastAsia="仿宋"/>
          <w:bCs/>
          <w:sz w:val="32"/>
          <w:szCs w:val="32"/>
        </w:rPr>
        <w:t>狠抓干部队伍建设</w:t>
      </w:r>
      <w:r>
        <w:rPr>
          <w:rFonts w:hint="eastAsia" w:ascii="仿宋" w:hAnsi="仿宋" w:eastAsia="仿宋"/>
          <w:bCs/>
          <w:sz w:val="32"/>
          <w:szCs w:val="32"/>
        </w:rPr>
        <w:t>，</w:t>
      </w:r>
      <w:r>
        <w:rPr>
          <w:rFonts w:hint="eastAsia" w:ascii="仿宋" w:hAnsi="仿宋" w:eastAsia="仿宋"/>
          <w:sz w:val="32"/>
          <w:szCs w:val="32"/>
        </w:rPr>
        <w:t>坚持严管厚爱相结合</w:t>
      </w:r>
      <w:r>
        <w:rPr>
          <w:rFonts w:ascii="仿宋" w:hAnsi="仿宋" w:eastAsia="仿宋"/>
          <w:sz w:val="32"/>
          <w:szCs w:val="32"/>
        </w:rPr>
        <w:t>，</w:t>
      </w:r>
      <w:r>
        <w:rPr>
          <w:rFonts w:hint="eastAsia" w:ascii="仿宋" w:hAnsi="仿宋" w:eastAsia="仿宋"/>
          <w:sz w:val="32"/>
          <w:szCs w:val="32"/>
        </w:rPr>
        <w:t>致力于</w:t>
      </w:r>
      <w:r>
        <w:rPr>
          <w:rFonts w:ascii="仿宋" w:hAnsi="仿宋" w:eastAsia="仿宋"/>
          <w:sz w:val="32"/>
          <w:szCs w:val="32"/>
        </w:rPr>
        <w:t>打造</w:t>
      </w:r>
      <w:r>
        <w:rPr>
          <w:rFonts w:hint="eastAsia" w:ascii="仿宋" w:hAnsi="仿宋" w:eastAsia="仿宋"/>
          <w:sz w:val="32"/>
          <w:szCs w:val="32"/>
        </w:rPr>
        <w:t>高素质专业化</w:t>
      </w:r>
      <w:r>
        <w:rPr>
          <w:rFonts w:ascii="仿宋" w:hAnsi="仿宋" w:eastAsia="仿宋"/>
          <w:sz w:val="32"/>
          <w:szCs w:val="32"/>
        </w:rPr>
        <w:t>财政干部队伍。</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firstLine="4480" w:firstLineChars="1400"/>
        <w:textAlignment w:val="auto"/>
        <w:outlineLvl w:val="9"/>
        <w:rPr>
          <w:rFonts w:hint="eastAsia" w:ascii="黑体" w:hAnsi="黑体" w:eastAsia="黑体" w:cs="仿宋"/>
          <w:sz w:val="32"/>
          <w:szCs w:val="32"/>
        </w:rPr>
      </w:pP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firstLine="4480" w:firstLineChars="1400"/>
        <w:textAlignment w:val="auto"/>
        <w:outlineLvl w:val="9"/>
        <w:rPr>
          <w:rFonts w:hint="eastAsia" w:ascii="仿宋" w:hAnsi="仿宋" w:eastAsia="仿宋" w:cs="仿宋"/>
          <w:sz w:val="32"/>
          <w:szCs w:val="32"/>
        </w:rPr>
      </w:pPr>
      <w:r>
        <w:rPr>
          <w:rFonts w:hint="eastAsia" w:ascii="黑体" w:hAnsi="黑体" w:eastAsia="黑体" w:cs="仿宋"/>
          <w:sz w:val="32"/>
          <w:szCs w:val="32"/>
        </w:rPr>
        <w:t xml:space="preserve"> </w:t>
      </w:r>
      <w:r>
        <w:rPr>
          <w:rFonts w:hint="eastAsia" w:ascii="仿宋" w:hAnsi="仿宋" w:eastAsia="仿宋" w:cs="仿宋"/>
          <w:sz w:val="32"/>
          <w:szCs w:val="32"/>
        </w:rPr>
        <w:t>绥宁县财政局</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firstLine="4480" w:firstLineChars="1400"/>
        <w:textAlignment w:val="auto"/>
        <w:outlineLvl w:val="9"/>
        <w:rPr>
          <w:rFonts w:ascii="仿宋" w:hAnsi="仿宋" w:eastAsia="仿宋"/>
          <w:sz w:val="32"/>
          <w:szCs w:val="32"/>
        </w:rPr>
      </w:pPr>
      <w:r>
        <w:rPr>
          <w:rFonts w:hint="eastAsia" w:ascii="仿宋" w:hAnsi="仿宋" w:eastAsia="仿宋" w:cs="仿宋"/>
          <w:sz w:val="32"/>
          <w:szCs w:val="32"/>
        </w:rPr>
        <w:t>2020年7月1日</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firstLine="643"/>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9"/>
        <w:rPr>
          <w:rFonts w:ascii="楷体" w:hAnsi="楷体" w:eastAsia="楷体"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outlineLvl w:val="9"/>
        <w:rPr>
          <w:rFonts w:ascii="仿宋" w:hAnsi="仿宋" w:eastAsia="仿宋"/>
          <w:b/>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outlineLvl w:val="9"/>
        <w:rPr>
          <w:rStyle w:val="9"/>
          <w:rFonts w:ascii="仿宋" w:hAnsi="仿宋" w:eastAsia="仿宋"/>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Century Gothic">
    <w:panose1 w:val="020B0502020202020204"/>
    <w:charset w:val="00"/>
    <w:family w:val="auto"/>
    <w:pitch w:val="default"/>
    <w:sig w:usb0="00000287" w:usb1="00000000" w:usb2="00000000" w:usb3="00000000" w:csb0="2000009F" w:csb1="DFD7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D2AB3"/>
    <w:rsid w:val="696D0F73"/>
    <w:rsid w:val="6A7C281E"/>
    <w:rsid w:val="75095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customStyle="1" w:styleId="7">
    <w:name w:val="列出段落1"/>
    <w:basedOn w:val="1"/>
    <w:qFormat/>
    <w:uiPriority w:val="34"/>
    <w:pPr>
      <w:ind w:firstLine="420" w:firstLineChars="200"/>
    </w:pPr>
    <w:rPr>
      <w:rFonts w:ascii="Calibri" w:hAnsi="Calibri" w:eastAsia="宋体" w:cs="Times New Roman"/>
      <w:szCs w:val="24"/>
    </w:rPr>
  </w:style>
  <w:style w:type="paragraph" w:customStyle="1" w:styleId="8">
    <w:name w:val="Char"/>
    <w:basedOn w:val="1"/>
    <w:qFormat/>
    <w:uiPriority w:val="0"/>
    <w:rPr>
      <w:rFonts w:ascii="Times New Roman" w:hAnsi="Times New Roman" w:eastAsia="宋体" w:cs="Times New Roman"/>
      <w:szCs w:val="24"/>
    </w:rPr>
  </w:style>
  <w:style w:type="character" w:customStyle="1" w:styleId="9">
    <w:name w:val="NormalCharacter"/>
    <w:semiHidden/>
    <w:qFormat/>
    <w:uiPriority w:val="0"/>
  </w:style>
  <w:style w:type="character" w:customStyle="1" w:styleId="10">
    <w:name w:val="页眉 Char Char"/>
    <w:basedOn w:val="5"/>
    <w:link w:val="3"/>
    <w:uiPriority w:val="99"/>
    <w:rPr>
      <w:sz w:val="18"/>
      <w:szCs w:val="18"/>
    </w:rPr>
  </w:style>
  <w:style w:type="character" w:customStyle="1" w:styleId="11">
    <w:name w:val="页脚 Char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1450</Words>
  <Characters>8266</Characters>
  <Lines>68</Lines>
  <Paragraphs>19</Paragraphs>
  <TotalTime>19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2020-07-05T03:15:00Z</dcterms:created>
  <dc:creator>Administrator</dc:creator>
  <cp:lastModifiedBy>Administrator</cp:lastModifiedBy>
  <cp:lastPrinted>2020-07-06T08:46:00Z</cp:lastPrinted>
  <dcterms:modified xsi:type="dcterms:W3CDTF">2020-11-23T07:21:52Z</dcterms:modified>
  <dc:title>绥宁县财政局2020年上半年工作总结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