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Times New Roman" w:eastAsia="黑体" w:cs="黑体"/>
          <w:color w:val="000000"/>
          <w:highlight w:val="none"/>
        </w:rPr>
      </w:pPr>
      <w:bookmarkStart w:id="0" w:name="YS040100"/>
    </w:p>
    <w:p>
      <w:pPr>
        <w:jc w:val="center"/>
        <w:rPr>
          <w:rFonts w:ascii="黑体" w:hAnsi="Times New Roman" w:eastAsia="黑体" w:cs="黑体"/>
          <w:color w:val="000000"/>
          <w:highlight w:val="none"/>
        </w:rPr>
      </w:pPr>
    </w:p>
    <w:p>
      <w:pPr>
        <w:jc w:val="center"/>
        <w:rPr>
          <w:rFonts w:ascii="黑体" w:hAnsi="Times New Roman" w:eastAsia="黑体" w:cs="黑体"/>
          <w:color w:val="000000"/>
          <w:highlight w:val="none"/>
        </w:rPr>
      </w:pPr>
    </w:p>
    <w:bookmarkEnd w:id="0"/>
    <w:p>
      <w:pPr>
        <w:jc w:val="center"/>
        <w:rPr>
          <w:rFonts w:ascii="华文中宋" w:hAnsi="华文中宋" w:eastAsia="华文中宋" w:cs="黑体"/>
          <w:color w:val="000000"/>
          <w:sz w:val="36"/>
          <w:szCs w:val="32"/>
          <w:highlight w:val="none"/>
        </w:rPr>
      </w:pPr>
      <w:r>
        <w:rPr>
          <w:rFonts w:hint="eastAsia" w:ascii="华文中宋" w:hAnsi="华文中宋" w:eastAsia="华文中宋" w:cs="黑体"/>
          <w:color w:val="000000"/>
          <w:sz w:val="36"/>
          <w:szCs w:val="32"/>
          <w:highlight w:val="none"/>
        </w:rPr>
        <w:t>2019年度部门决算报表填报说明</w:t>
      </w:r>
    </w:p>
    <w:p>
      <w:pPr>
        <w:widowControl/>
        <w:spacing w:line="211" w:lineRule="atLeast"/>
        <w:jc w:val="center"/>
        <w:rPr>
          <w:rFonts w:ascii="华文中宋" w:hAnsi="华文中宋" w:eastAsia="华文中宋" w:cs="宋体"/>
          <w:color w:val="000000"/>
          <w:kern w:val="0"/>
          <w:sz w:val="36"/>
          <w:szCs w:val="32"/>
          <w:highlight w:val="none"/>
        </w:rPr>
      </w:pPr>
      <w:r>
        <w:rPr>
          <w:rFonts w:hint="eastAsia" w:ascii="华文中宋" w:hAnsi="华文中宋" w:eastAsia="华文中宋" w:cs="宋体"/>
          <w:color w:val="000000"/>
          <w:kern w:val="0"/>
          <w:sz w:val="36"/>
          <w:szCs w:val="32"/>
          <w:highlight w:val="none"/>
        </w:rPr>
        <w:t>（</w:t>
      </w:r>
      <w:r>
        <w:rPr>
          <w:rFonts w:hint="eastAsia" w:ascii="华文中宋" w:hAnsi="华文中宋" w:eastAsia="华文中宋" w:cs="黑体"/>
          <w:color w:val="000000"/>
          <w:sz w:val="36"/>
          <w:szCs w:val="32"/>
          <w:highlight w:val="none"/>
          <w:lang w:val="en-US" w:eastAsia="zh-CN"/>
        </w:rPr>
        <w:t>东山侗族乡人民政府</w:t>
      </w:r>
      <w:r>
        <w:rPr>
          <w:rFonts w:hint="eastAsia" w:ascii="华文中宋" w:hAnsi="华文中宋" w:eastAsia="华文中宋" w:cs="宋体"/>
          <w:color w:val="000000"/>
          <w:kern w:val="0"/>
          <w:sz w:val="36"/>
          <w:szCs w:val="32"/>
          <w:highlight w:val="none"/>
        </w:rPr>
        <w:t>）</w:t>
      </w:r>
    </w:p>
    <w:p>
      <w:pPr>
        <w:jc w:val="center"/>
        <w:rPr>
          <w:rFonts w:ascii="仿宋_GB2312" w:hAnsi="华文中宋" w:eastAsia="仿宋_GB2312" w:cs="黑体"/>
          <w:color w:val="000000"/>
          <w:sz w:val="32"/>
          <w:szCs w:val="32"/>
          <w:highlight w:val="none"/>
        </w:rPr>
      </w:pPr>
    </w:p>
    <w:p>
      <w:pPr>
        <w:ind w:firstLine="640" w:firstLineChars="200"/>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一、决算信息来源说明</w:t>
      </w:r>
    </w:p>
    <w:p>
      <w:pPr>
        <w:ind w:firstLine="640" w:firstLineChars="200"/>
        <w:rPr>
          <w:rFonts w:ascii="仿宋_GB2312" w:hAnsi="仿宋" w:eastAsia="仿宋_GB2312" w:cs="仿宋"/>
          <w:bCs/>
          <w:color w:val="000000"/>
          <w:sz w:val="32"/>
          <w:szCs w:val="32"/>
          <w:highlight w:val="none"/>
        </w:rPr>
      </w:pPr>
      <w:r>
        <w:rPr>
          <w:rFonts w:hint="eastAsia" w:ascii="仿宋_GB2312" w:hAnsi="仿宋" w:eastAsia="仿宋_GB2312" w:cs="仿宋"/>
          <w:bCs/>
          <w:color w:val="000000"/>
          <w:sz w:val="32"/>
          <w:szCs w:val="32"/>
          <w:highlight w:val="none"/>
        </w:rPr>
        <w:t>本套决算依据本单位登记完整、核对无误的账簿记录和其他有关会计核算资料编制，账证相符、账实相符、账表相符、表表相符，真实、准确、</w:t>
      </w:r>
      <w:bookmarkStart w:id="1" w:name="_GoBack"/>
      <w:bookmarkEnd w:id="1"/>
      <w:r>
        <w:rPr>
          <w:rFonts w:hint="eastAsia" w:ascii="仿宋_GB2312" w:hAnsi="仿宋" w:eastAsia="仿宋_GB2312" w:cs="仿宋"/>
          <w:bCs/>
          <w:color w:val="000000"/>
          <w:sz w:val="32"/>
          <w:szCs w:val="32"/>
          <w:highlight w:val="none"/>
        </w:rPr>
        <w:t>完整地反映了本单位预算执行结果和财务状况。</w:t>
      </w:r>
    </w:p>
    <w:p>
      <w:pPr>
        <w:ind w:firstLine="640" w:firstLineChars="200"/>
        <w:rPr>
          <w:rFonts w:ascii="仿宋_GB2312" w:hAnsi="仿宋" w:eastAsia="仿宋_GB2312" w:cs="黑体"/>
          <w:color w:val="000000"/>
          <w:sz w:val="32"/>
          <w:szCs w:val="32"/>
          <w:highlight w:val="none"/>
        </w:rPr>
      </w:pPr>
      <w:r>
        <w:rPr>
          <w:rFonts w:hint="eastAsia" w:ascii="仿宋_GB2312" w:hAnsi="仿宋" w:eastAsia="仿宋_GB2312"/>
          <w:sz w:val="32"/>
          <w:szCs w:val="32"/>
          <w:highlight w:val="none"/>
        </w:rPr>
        <w:t>（一）本套决算主表数据主要依据本单位会计账簿总账及明细账数据填列，预算数据依据本单位预、决算批复文件及预算调整文件填列。</w:t>
      </w:r>
    </w:p>
    <w:p>
      <w:pPr>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（二）本套决算附表数据主要依据本单位会计账簿、资产、人事台账及相关资料填列。</w:t>
      </w:r>
    </w:p>
    <w:p>
      <w:pPr>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二、决算编制基本情况</w:t>
      </w:r>
    </w:p>
    <w:p>
      <w:pPr>
        <w:ind w:firstLine="567"/>
        <w:rPr>
          <w:rFonts w:ascii="仿宋_GB2312" w:hAnsi="仿宋" w:eastAsia="仿宋_GB2312" w:cs="仿宋"/>
          <w:bCs/>
          <w:sz w:val="32"/>
          <w:szCs w:val="32"/>
          <w:highlight w:val="none"/>
        </w:rPr>
      </w:pPr>
      <w:r>
        <w:rPr>
          <w:rFonts w:hint="eastAsia" w:ascii="仿宋_GB2312" w:hAnsi="仿宋" w:eastAsia="仿宋_GB2312" w:cs="仿宋"/>
          <w:bCs/>
          <w:sz w:val="32"/>
          <w:szCs w:val="32"/>
          <w:highlight w:val="none"/>
        </w:rPr>
        <w:t>本单位为绥宁县</w:t>
      </w:r>
      <w:r>
        <w:rPr>
          <w:rFonts w:hint="eastAsia" w:ascii="仿宋_GB2312" w:hAnsi="仿宋" w:eastAsia="仿宋_GB2312" w:cs="仿宋"/>
          <w:bCs/>
          <w:sz w:val="32"/>
          <w:szCs w:val="32"/>
          <w:highlight w:val="none"/>
          <w:lang w:eastAsia="zh-CN"/>
        </w:rPr>
        <w:t>东山乡</w:t>
      </w:r>
      <w:r>
        <w:rPr>
          <w:rFonts w:hint="eastAsia" w:ascii="仿宋_GB2312" w:hAnsi="仿宋" w:eastAsia="仿宋_GB2312" w:cs="仿宋"/>
          <w:bCs/>
          <w:sz w:val="32"/>
          <w:szCs w:val="32"/>
          <w:highlight w:val="none"/>
        </w:rPr>
        <w:t>人民政府</w:t>
      </w:r>
      <w:r>
        <w:rPr>
          <w:rFonts w:hint="eastAsia" w:ascii="仿宋_GB2312" w:hAnsi="仿宋" w:eastAsia="仿宋_GB2312" w:cs="仿宋"/>
          <w:b/>
          <w:bCs w:val="0"/>
          <w:sz w:val="32"/>
          <w:szCs w:val="32"/>
          <w:highlight w:val="none"/>
          <w:lang w:eastAsia="zh-CN"/>
        </w:rPr>
        <w:t>，</w:t>
      </w:r>
      <w:r>
        <w:rPr>
          <w:rFonts w:hint="eastAsia" w:ascii="仿宋_GB2312" w:hAnsi="仿宋" w:eastAsia="仿宋_GB2312" w:cs="仿宋"/>
          <w:bCs/>
          <w:sz w:val="32"/>
          <w:szCs w:val="32"/>
          <w:highlight w:val="none"/>
        </w:rPr>
        <w:t>所属</w:t>
      </w:r>
      <w:r>
        <w:rPr>
          <w:rFonts w:hint="eastAsia" w:ascii="仿宋_GB2312" w:hAnsi="仿宋" w:eastAsia="仿宋_GB2312" w:cs="仿宋"/>
          <w:bCs/>
          <w:sz w:val="32"/>
          <w:szCs w:val="32"/>
          <w:highlight w:val="none"/>
          <w:u w:val="none"/>
          <w:lang w:val="en-US" w:eastAsia="zh-CN"/>
        </w:rPr>
        <w:t>一</w:t>
      </w:r>
      <w:r>
        <w:rPr>
          <w:rFonts w:hint="eastAsia" w:ascii="仿宋_GB2312" w:hAnsi="仿宋" w:eastAsia="仿宋_GB2312" w:cs="仿宋"/>
          <w:bCs/>
          <w:sz w:val="32"/>
          <w:szCs w:val="32"/>
          <w:highlight w:val="none"/>
        </w:rPr>
        <w:t>级</w:t>
      </w:r>
      <w:r>
        <w:rPr>
          <w:rFonts w:hint="eastAsia" w:ascii="仿宋_GB2312" w:hAnsi="仿宋" w:eastAsia="仿宋_GB2312" w:cs="仿宋"/>
          <w:bCs/>
          <w:spacing w:val="14"/>
          <w:sz w:val="32"/>
          <w:szCs w:val="32"/>
          <w:highlight w:val="none"/>
        </w:rPr>
        <w:t>预算单位，单</w:t>
      </w:r>
      <w:r>
        <w:rPr>
          <w:rFonts w:hint="eastAsia" w:ascii="仿宋_GB2312" w:hAnsi="仿宋" w:eastAsia="仿宋_GB2312" w:cs="仿宋"/>
          <w:bCs/>
          <w:sz w:val="32"/>
          <w:szCs w:val="32"/>
          <w:highlight w:val="none"/>
        </w:rPr>
        <w:t>位性质为</w:t>
      </w:r>
      <w:r>
        <w:rPr>
          <w:rFonts w:hint="eastAsia" w:ascii="仿宋_GB2312" w:hAnsi="仿宋" w:eastAsia="仿宋_GB2312" w:cs="仿宋"/>
          <w:bCs/>
          <w:sz w:val="32"/>
          <w:szCs w:val="32"/>
          <w:highlight w:val="none"/>
          <w:lang w:val="en-US" w:eastAsia="zh-CN"/>
        </w:rPr>
        <w:t>其他</w:t>
      </w:r>
      <w:r>
        <w:rPr>
          <w:rFonts w:hint="eastAsia" w:ascii="仿宋_GB2312" w:hAnsi="仿宋" w:eastAsia="仿宋_GB2312" w:cs="仿宋"/>
          <w:bCs/>
          <w:sz w:val="32"/>
          <w:szCs w:val="32"/>
          <w:highlight w:val="none"/>
        </w:rPr>
        <w:t>单位，决算编报类型为</w:t>
      </w:r>
      <w:r>
        <w:rPr>
          <w:rFonts w:hint="eastAsia" w:ascii="仿宋_GB2312" w:hAnsi="仿宋" w:eastAsia="仿宋_GB2312" w:cs="仿宋"/>
          <w:bCs/>
          <w:sz w:val="32"/>
          <w:szCs w:val="32"/>
          <w:highlight w:val="none"/>
          <w:lang w:val="en-US" w:eastAsia="zh-CN"/>
        </w:rPr>
        <w:t>乡镇汇总录入表</w:t>
      </w:r>
      <w:r>
        <w:rPr>
          <w:rFonts w:hint="eastAsia" w:ascii="仿宋_GB2312" w:hAnsi="仿宋" w:eastAsia="仿宋_GB2312" w:cs="仿宋"/>
          <w:bCs/>
          <w:sz w:val="32"/>
          <w:szCs w:val="32"/>
          <w:highlight w:val="none"/>
        </w:rPr>
        <w:t>，按照</w:t>
      </w:r>
      <w:r>
        <w:rPr>
          <w:rFonts w:hint="eastAsia" w:ascii="仿宋_GB2312" w:hAnsi="仿宋" w:eastAsia="仿宋_GB2312" w:cs="仿宋"/>
          <w:bCs/>
          <w:sz w:val="32"/>
          <w:szCs w:val="32"/>
          <w:highlight w:val="none"/>
          <w:lang w:val="en-US" w:eastAsia="zh-CN"/>
        </w:rPr>
        <w:t>其他</w:t>
      </w:r>
      <w:r>
        <w:rPr>
          <w:rFonts w:hint="eastAsia" w:ascii="仿宋_GB2312" w:hAnsi="仿宋" w:eastAsia="仿宋_GB2312" w:cs="仿宋"/>
          <w:bCs/>
          <w:sz w:val="32"/>
          <w:szCs w:val="32"/>
          <w:highlight w:val="none"/>
        </w:rPr>
        <w:t>会计制度填报决算数据。</w:t>
      </w:r>
    </w:p>
    <w:p>
      <w:pPr>
        <w:ind w:firstLine="640" w:firstLineChars="200"/>
        <w:rPr>
          <w:rFonts w:ascii="仿宋_GB2312" w:hAnsi="仿宋" w:eastAsia="仿宋_GB2312" w:cs="仿宋"/>
          <w:bCs/>
          <w:sz w:val="32"/>
          <w:szCs w:val="32"/>
          <w:highlight w:val="none"/>
        </w:rPr>
      </w:pPr>
      <w:r>
        <w:rPr>
          <w:rFonts w:hint="eastAsia" w:ascii="仿宋_GB2312" w:hAnsi="仿宋" w:eastAsia="仿宋_GB2312" w:cs="仿宋"/>
          <w:bCs/>
          <w:sz w:val="32"/>
          <w:szCs w:val="32"/>
          <w:highlight w:val="none"/>
        </w:rPr>
        <w:t>纳入本套决算编制范围的独立核算单位共</w:t>
      </w:r>
      <w:r>
        <w:rPr>
          <w:rFonts w:hint="eastAsia" w:ascii="仿宋_GB2312" w:hAnsi="仿宋" w:eastAsia="仿宋_GB2312" w:cs="仿宋"/>
          <w:bCs/>
          <w:sz w:val="32"/>
          <w:szCs w:val="32"/>
          <w:highlight w:val="none"/>
          <w:lang w:val="en-US" w:eastAsia="zh-CN"/>
        </w:rPr>
        <w:t>2</w:t>
      </w:r>
      <w:r>
        <w:rPr>
          <w:rFonts w:hint="eastAsia" w:ascii="仿宋_GB2312" w:hAnsi="仿宋" w:eastAsia="仿宋_GB2312" w:cs="仿宋"/>
          <w:bCs/>
          <w:sz w:val="32"/>
          <w:szCs w:val="32"/>
          <w:highlight w:val="none"/>
        </w:rPr>
        <w:t>个，比上年增减</w:t>
      </w:r>
      <w:r>
        <w:rPr>
          <w:rFonts w:hint="eastAsia" w:ascii="仿宋_GB2312" w:hAnsi="仿宋" w:eastAsia="仿宋_GB2312" w:cs="仿宋"/>
          <w:bCs/>
          <w:sz w:val="32"/>
          <w:szCs w:val="32"/>
          <w:highlight w:val="none"/>
          <w:lang w:val="en-US" w:eastAsia="zh-CN"/>
        </w:rPr>
        <w:t>0</w:t>
      </w:r>
      <w:r>
        <w:rPr>
          <w:rFonts w:hint="eastAsia" w:ascii="仿宋_GB2312" w:hAnsi="仿宋" w:eastAsia="仿宋_GB2312" w:cs="仿宋"/>
          <w:bCs/>
          <w:sz w:val="32"/>
          <w:szCs w:val="32"/>
          <w:highlight w:val="none"/>
        </w:rPr>
        <w:t>个，分别是行政性质的政府机关和事业性质</w:t>
      </w:r>
      <w:r>
        <w:rPr>
          <w:rFonts w:hint="eastAsia" w:ascii="仿宋_GB2312" w:hAnsi="仿宋" w:eastAsia="仿宋_GB2312"/>
          <w:sz w:val="32"/>
          <w:szCs w:val="32"/>
          <w:highlight w:val="none"/>
        </w:rPr>
        <w:t>财政补助机构。</w:t>
      </w:r>
    </w:p>
    <w:p>
      <w:pPr>
        <w:ind w:firstLine="707" w:firstLineChars="221"/>
        <w:rPr>
          <w:rFonts w:ascii="黑体" w:hAnsi="黑体" w:eastAsia="黑体" w:cs="Times New Roman"/>
          <w:color w:val="000000"/>
          <w:sz w:val="32"/>
          <w:szCs w:val="32"/>
          <w:highlight w:val="none"/>
        </w:rPr>
      </w:pPr>
      <w:r>
        <w:rPr>
          <w:rFonts w:hint="eastAsia" w:ascii="黑体" w:hAnsi="黑体" w:eastAsia="黑体" w:cs="黑体"/>
          <w:color w:val="000000"/>
          <w:sz w:val="32"/>
          <w:szCs w:val="32"/>
          <w:highlight w:val="none"/>
        </w:rPr>
        <w:t>三、基础数据核对情况</w:t>
      </w:r>
    </w:p>
    <w:p>
      <w:pPr>
        <w:ind w:firstLine="709"/>
        <w:rPr>
          <w:rFonts w:ascii="楷体_GB2312" w:hAnsi="仿宋" w:eastAsia="楷体_GB2312" w:cs="仿宋"/>
          <w:b/>
          <w:color w:val="000000"/>
          <w:sz w:val="32"/>
          <w:szCs w:val="32"/>
          <w:highlight w:val="none"/>
        </w:rPr>
      </w:pPr>
      <w:r>
        <w:rPr>
          <w:rFonts w:hint="eastAsia" w:ascii="楷体_GB2312" w:hAnsi="仿宋" w:eastAsia="楷体_GB2312" w:cs="仿宋"/>
          <w:b/>
          <w:color w:val="000000"/>
          <w:sz w:val="32"/>
          <w:szCs w:val="32"/>
          <w:highlight w:val="none"/>
        </w:rPr>
        <w:t>（一）财政资金对账情况。</w:t>
      </w:r>
    </w:p>
    <w:p>
      <w:pPr>
        <w:ind w:firstLine="709"/>
        <w:rPr>
          <w:rFonts w:ascii="仿宋_GB2312" w:hAnsi="仿宋" w:eastAsia="仿宋_GB2312" w:cs="Times New Roman"/>
          <w:b/>
          <w:color w:val="000000"/>
          <w:sz w:val="32"/>
          <w:szCs w:val="32"/>
          <w:highlight w:val="none"/>
        </w:rPr>
      </w:pPr>
      <w:r>
        <w:rPr>
          <w:rFonts w:hint="eastAsia" w:ascii="仿宋_GB2312" w:hAnsi="仿宋" w:eastAsia="仿宋_GB2312" w:cs="仿宋"/>
          <w:b/>
          <w:color w:val="000000"/>
          <w:sz w:val="32"/>
          <w:szCs w:val="32"/>
          <w:highlight w:val="none"/>
        </w:rPr>
        <w:t>1．财政拨款核对情况。</w:t>
      </w:r>
    </w:p>
    <w:p>
      <w:pPr>
        <w:ind w:firstLine="709"/>
        <w:rPr>
          <w:rFonts w:hint="eastAsia" w:ascii="仿宋_GB2312" w:hAnsi="仿宋" w:eastAsia="仿宋_GB2312" w:cs="仿宋"/>
          <w:color w:val="000000"/>
          <w:sz w:val="32"/>
          <w:szCs w:val="32"/>
          <w:highlight w:val="none"/>
        </w:rPr>
      </w:pPr>
      <w:r>
        <w:rPr>
          <w:rFonts w:hint="eastAsia" w:ascii="仿宋_GB2312" w:hAnsi="仿宋" w:eastAsia="仿宋_GB2312" w:cs="仿宋"/>
          <w:color w:val="000000"/>
          <w:sz w:val="32"/>
          <w:szCs w:val="32"/>
          <w:highlight w:val="none"/>
        </w:rPr>
        <w:t>（1）单位本年度实际收到的</w:t>
      </w:r>
      <w:r>
        <w:rPr>
          <w:rFonts w:hint="eastAsia" w:ascii="仿宋_GB2312" w:hAnsi="仿宋" w:eastAsia="仿宋_GB2312" w:cs="仿宋"/>
          <w:bCs/>
          <w:color w:val="000000"/>
          <w:sz w:val="32"/>
          <w:szCs w:val="32"/>
          <w:highlight w:val="none"/>
        </w:rPr>
        <w:t>一般</w:t>
      </w:r>
      <w:r>
        <w:rPr>
          <w:rFonts w:hint="eastAsia" w:ascii="仿宋_GB2312" w:hAnsi="仿宋" w:eastAsia="仿宋_GB2312" w:cs="仿宋"/>
          <w:color w:val="000000"/>
          <w:sz w:val="32"/>
          <w:szCs w:val="32"/>
          <w:highlight w:val="none"/>
        </w:rPr>
        <w:t>公共预算财政拨款收入</w:t>
      </w:r>
      <w:r>
        <w:rPr>
          <w:rFonts w:hint="eastAsia" w:ascii="仿宋_GB2312" w:hAnsi="仿宋" w:eastAsia="仿宋_GB2312" w:cs="仿宋"/>
          <w:color w:val="000000"/>
          <w:sz w:val="32"/>
          <w:szCs w:val="32"/>
          <w:highlight w:val="none"/>
          <w:lang w:val="en-US" w:eastAsia="zh-CN"/>
        </w:rPr>
        <w:t>2290.20</w:t>
      </w:r>
      <w:r>
        <w:rPr>
          <w:rFonts w:hint="eastAsia" w:ascii="仿宋_GB2312" w:hAnsi="仿宋" w:eastAsia="仿宋_GB2312" w:cs="仿宋"/>
          <w:color w:val="000000"/>
          <w:sz w:val="32"/>
          <w:szCs w:val="32"/>
          <w:highlight w:val="none"/>
        </w:rPr>
        <w:t>万元，财政部门拨款对账单</w:t>
      </w:r>
      <w:r>
        <w:rPr>
          <w:rFonts w:hint="eastAsia" w:ascii="仿宋_GB2312" w:hAnsi="仿宋" w:eastAsia="仿宋_GB2312" w:cs="仿宋"/>
          <w:color w:val="000000"/>
          <w:sz w:val="32"/>
          <w:szCs w:val="32"/>
          <w:highlight w:val="none"/>
          <w:lang w:val="en-US" w:eastAsia="zh-CN"/>
        </w:rPr>
        <w:t>2290.20</w:t>
      </w:r>
      <w:r>
        <w:rPr>
          <w:rFonts w:hint="eastAsia" w:ascii="仿宋_GB2312" w:hAnsi="仿宋" w:eastAsia="仿宋_GB2312" w:cs="仿宋"/>
          <w:color w:val="000000"/>
          <w:sz w:val="32"/>
          <w:szCs w:val="32"/>
          <w:highlight w:val="none"/>
        </w:rPr>
        <w:t>万元，差额</w:t>
      </w:r>
      <w:r>
        <w:rPr>
          <w:rFonts w:hint="eastAsia" w:ascii="仿宋_GB2312" w:hAnsi="仿宋" w:eastAsia="仿宋_GB2312" w:cs="仿宋"/>
          <w:color w:val="000000"/>
          <w:sz w:val="32"/>
          <w:szCs w:val="32"/>
          <w:highlight w:val="none"/>
          <w:lang w:val="en-US" w:eastAsia="zh-CN"/>
        </w:rPr>
        <w:t>0</w:t>
      </w:r>
      <w:r>
        <w:rPr>
          <w:rFonts w:hint="eastAsia" w:ascii="仿宋_GB2312" w:hAnsi="仿宋" w:eastAsia="仿宋_GB2312" w:cs="仿宋"/>
          <w:color w:val="000000"/>
          <w:sz w:val="32"/>
          <w:szCs w:val="32"/>
          <w:highlight w:val="none"/>
        </w:rPr>
        <w:t>万元。</w:t>
      </w:r>
    </w:p>
    <w:p>
      <w:pPr>
        <w:ind w:firstLine="709"/>
        <w:rPr>
          <w:rFonts w:hint="eastAsia" w:ascii="仿宋_GB2312" w:hAnsi="仿宋" w:eastAsia="仿宋_GB2312" w:cs="仿宋"/>
          <w:color w:val="000000"/>
          <w:sz w:val="32"/>
          <w:szCs w:val="32"/>
          <w:highlight w:val="none"/>
        </w:rPr>
      </w:pPr>
      <w:r>
        <w:rPr>
          <w:rFonts w:hint="eastAsia" w:ascii="仿宋_GB2312" w:hAnsi="仿宋" w:eastAsia="仿宋_GB2312" w:cs="仿宋"/>
          <w:color w:val="000000"/>
          <w:sz w:val="32"/>
          <w:szCs w:val="32"/>
          <w:highlight w:val="none"/>
        </w:rPr>
        <w:t>（2）单位本年度政府性基金预算财政拨款收入</w:t>
      </w:r>
      <w:r>
        <w:rPr>
          <w:rFonts w:hint="eastAsia" w:ascii="仿宋_GB2312" w:hAnsi="仿宋" w:eastAsia="仿宋_GB2312" w:cs="仿宋"/>
          <w:color w:val="000000"/>
          <w:sz w:val="32"/>
          <w:szCs w:val="32"/>
          <w:highlight w:val="none"/>
          <w:lang w:val="en-US" w:eastAsia="zh-CN"/>
        </w:rPr>
        <w:t>158.82</w:t>
      </w:r>
      <w:r>
        <w:rPr>
          <w:rFonts w:hint="eastAsia" w:ascii="仿宋_GB2312" w:hAnsi="仿宋" w:eastAsia="仿宋_GB2312" w:cs="仿宋"/>
          <w:color w:val="000000"/>
          <w:sz w:val="32"/>
          <w:szCs w:val="32"/>
          <w:highlight w:val="none"/>
        </w:rPr>
        <w:t>万元，财政部门拨款对账单</w:t>
      </w:r>
      <w:r>
        <w:rPr>
          <w:rFonts w:hint="eastAsia" w:ascii="仿宋_GB2312" w:hAnsi="仿宋" w:eastAsia="仿宋_GB2312" w:cs="仿宋"/>
          <w:color w:val="000000"/>
          <w:sz w:val="32"/>
          <w:szCs w:val="32"/>
          <w:highlight w:val="none"/>
          <w:lang w:val="en-US" w:eastAsia="zh-CN"/>
        </w:rPr>
        <w:t>158.82</w:t>
      </w:r>
      <w:r>
        <w:rPr>
          <w:rFonts w:hint="eastAsia" w:ascii="仿宋_GB2312" w:hAnsi="仿宋" w:eastAsia="仿宋_GB2312" w:cs="仿宋"/>
          <w:color w:val="000000"/>
          <w:sz w:val="32"/>
          <w:szCs w:val="32"/>
          <w:highlight w:val="none"/>
        </w:rPr>
        <w:t>万元，差额</w:t>
      </w:r>
      <w:r>
        <w:rPr>
          <w:rFonts w:hint="eastAsia" w:ascii="仿宋_GB2312" w:hAnsi="仿宋" w:eastAsia="仿宋_GB2312" w:cs="仿宋"/>
          <w:color w:val="000000"/>
          <w:sz w:val="32"/>
          <w:szCs w:val="32"/>
          <w:highlight w:val="none"/>
          <w:lang w:val="en-US" w:eastAsia="zh-CN"/>
        </w:rPr>
        <w:t>0</w:t>
      </w:r>
      <w:r>
        <w:rPr>
          <w:rFonts w:hint="eastAsia" w:ascii="仿宋_GB2312" w:hAnsi="仿宋" w:eastAsia="仿宋_GB2312" w:cs="仿宋"/>
          <w:color w:val="000000"/>
          <w:sz w:val="32"/>
          <w:szCs w:val="32"/>
          <w:highlight w:val="none"/>
        </w:rPr>
        <w:t>万元。</w:t>
      </w:r>
    </w:p>
    <w:p>
      <w:pPr>
        <w:ind w:firstLine="709"/>
        <w:rPr>
          <w:rFonts w:ascii="楷体_GB2312" w:hAnsi="仿宋" w:eastAsia="楷体_GB2312" w:cs="仿宋"/>
          <w:b/>
          <w:color w:val="000000"/>
          <w:sz w:val="32"/>
          <w:szCs w:val="32"/>
          <w:highlight w:val="none"/>
        </w:rPr>
      </w:pPr>
      <w:r>
        <w:rPr>
          <w:rFonts w:hint="eastAsia" w:ascii="楷体_GB2312" w:hAnsi="仿宋" w:eastAsia="楷体_GB2312" w:cs="仿宋"/>
          <w:b/>
          <w:color w:val="000000"/>
          <w:sz w:val="32"/>
          <w:szCs w:val="32"/>
          <w:highlight w:val="none"/>
        </w:rPr>
        <w:t>（二）与上年指标核对情况。</w:t>
      </w:r>
    </w:p>
    <w:p>
      <w:pPr>
        <w:ind w:firstLine="640" w:firstLineChars="200"/>
        <w:rPr>
          <w:rFonts w:hint="default" w:eastAsia="仿宋_GB2312"/>
          <w:color w:val="C00000"/>
          <w:highlight w:val="none"/>
          <w:lang w:val="en-US" w:eastAsia="zh-CN"/>
        </w:rPr>
      </w:pPr>
      <w:r>
        <w:rPr>
          <w:rFonts w:hint="eastAsia" w:ascii="仿宋_GB2312" w:hAnsi="仿宋" w:eastAsia="仿宋_GB2312" w:cs="仿宋"/>
          <w:color w:val="000000"/>
          <w:sz w:val="32"/>
          <w:szCs w:val="32"/>
          <w:highlight w:val="none"/>
        </w:rPr>
        <w:t>1．全口径、</w:t>
      </w:r>
      <w:r>
        <w:rPr>
          <w:rFonts w:hint="eastAsia" w:ascii="仿宋_GB2312" w:hAnsi="仿宋" w:eastAsia="仿宋_GB2312" w:cs="仿宋"/>
          <w:bCs/>
          <w:color w:val="000000"/>
          <w:sz w:val="32"/>
          <w:szCs w:val="32"/>
          <w:highlight w:val="none"/>
        </w:rPr>
        <w:t>一般</w:t>
      </w:r>
      <w:r>
        <w:rPr>
          <w:rFonts w:hint="eastAsia" w:ascii="仿宋_GB2312" w:hAnsi="仿宋" w:eastAsia="仿宋_GB2312" w:cs="仿宋"/>
          <w:color w:val="000000"/>
          <w:sz w:val="32"/>
          <w:szCs w:val="32"/>
          <w:highlight w:val="none"/>
        </w:rPr>
        <w:t>公共预算财政拨款和政府性基金预算财政拨款的结转和结余资金本年年初数与上年年末数不一致的</w:t>
      </w:r>
      <w:r>
        <w:rPr>
          <w:rFonts w:hint="eastAsia" w:ascii="仿宋_GB2312" w:hAnsi="仿宋" w:eastAsia="仿宋_GB2312" w:cs="仿宋"/>
          <w:color w:val="auto"/>
          <w:sz w:val="32"/>
          <w:szCs w:val="32"/>
          <w:highlight w:val="none"/>
        </w:rPr>
        <w:t>情况说明，包括会计</w:t>
      </w:r>
      <w:r>
        <w:rPr>
          <w:rFonts w:hint="eastAsia" w:ascii="仿宋_GB2312" w:hAnsi="仿宋" w:eastAsia="仿宋_GB2312" w:cs="仿宋"/>
          <w:bCs/>
          <w:color w:val="auto"/>
          <w:sz w:val="32"/>
          <w:szCs w:val="32"/>
          <w:highlight w:val="none"/>
        </w:rPr>
        <w:t>差错更正、收回以前年度支出</w:t>
      </w:r>
      <w:r>
        <w:rPr>
          <w:rFonts w:hint="eastAsia" w:ascii="仿宋_GB2312" w:hAnsi="仿宋" w:eastAsia="仿宋_GB2312" w:cs="仿宋"/>
          <w:color w:val="auto"/>
          <w:sz w:val="32"/>
          <w:szCs w:val="32"/>
          <w:highlight w:val="none"/>
        </w:rPr>
        <w:t>、归集调入、归集调出、归集上缴和缴回资金</w:t>
      </w:r>
      <w:r>
        <w:rPr>
          <w:rFonts w:hint="eastAsia" w:ascii="仿宋_GB2312" w:hAnsi="仿宋" w:eastAsia="仿宋_GB2312" w:cs="仿宋"/>
          <w:color w:val="auto"/>
          <w:sz w:val="32"/>
          <w:szCs w:val="32"/>
          <w:highlight w:val="none"/>
          <w:lang w:eastAsia="zh-CN"/>
        </w:rPr>
        <w:t>及单位内部调剂</w:t>
      </w:r>
      <w:r>
        <w:rPr>
          <w:rFonts w:hint="eastAsia" w:ascii="仿宋_GB2312" w:hAnsi="仿宋" w:eastAsia="仿宋_GB2312" w:cs="仿宋"/>
          <w:color w:val="auto"/>
          <w:sz w:val="32"/>
          <w:szCs w:val="32"/>
          <w:highlight w:val="none"/>
        </w:rPr>
        <w:t>等情况（附表</w:t>
      </w:r>
      <w:r>
        <w:rPr>
          <w:rFonts w:hint="eastAsia" w:ascii="仿宋_GB2312" w:hAnsi="仿宋" w:eastAsia="仿宋_GB2312" w:cs="仿宋"/>
          <w:bCs/>
          <w:color w:val="auto"/>
          <w:sz w:val="32"/>
          <w:szCs w:val="32"/>
          <w:highlight w:val="none"/>
        </w:rPr>
        <w:t>1</w:t>
      </w:r>
      <w:r>
        <w:rPr>
          <w:rFonts w:hint="eastAsia" w:ascii="仿宋_GB2312" w:hAnsi="仿宋" w:eastAsia="仿宋_GB2312" w:cs="仿宋"/>
          <w:color w:val="auto"/>
          <w:sz w:val="32"/>
          <w:szCs w:val="32"/>
          <w:highlight w:val="none"/>
        </w:rPr>
        <w:t>）。</w:t>
      </w:r>
    </w:p>
    <w:p>
      <w:pPr>
        <w:ind w:firstLine="709"/>
        <w:rPr>
          <w:rFonts w:ascii="仿宋_GB2312" w:hAnsi="仿宋" w:eastAsia="仿宋_GB2312" w:cs="Times New Roman"/>
          <w:color w:val="000000"/>
          <w:sz w:val="32"/>
          <w:szCs w:val="32"/>
          <w:highlight w:val="none"/>
        </w:rPr>
      </w:pPr>
      <w:r>
        <w:rPr>
          <w:rFonts w:hint="eastAsia" w:ascii="仿宋_GB2312" w:hAnsi="仿宋" w:eastAsia="仿宋_GB2312" w:cs="仿宋"/>
          <w:color w:val="000000"/>
          <w:sz w:val="32"/>
          <w:szCs w:val="32"/>
          <w:highlight w:val="none"/>
        </w:rPr>
        <w:t>2．</w:t>
      </w:r>
      <w:r>
        <w:rPr>
          <w:rFonts w:hint="eastAsia" w:ascii="仿宋_GB2312" w:hAnsi="仿宋" w:eastAsia="仿宋_GB2312" w:cs="仿宋"/>
          <w:color w:val="000000"/>
          <w:sz w:val="32"/>
          <w:szCs w:val="32"/>
          <w:highlight w:val="none"/>
        </w:rPr>
        <w:t>主要指标上下年变动幅度超过20%，</w:t>
      </w:r>
      <w:r>
        <w:rPr>
          <w:rFonts w:hint="eastAsia" w:ascii="仿宋_GB2312" w:hAnsi="仿宋" w:eastAsia="仿宋_GB2312" w:cs="仿宋"/>
          <w:color w:val="000000"/>
          <w:sz w:val="32"/>
          <w:szCs w:val="32"/>
          <w:highlight w:val="none"/>
          <w:lang w:val="en-US" w:eastAsia="zh-CN"/>
        </w:rPr>
        <w:t>一般公共预算财政拨款增幅超过20%，主要是因为扶贫资金拨入；其他资金减幅80.03%,主要是因为易地搬迁项目资金为拨入其他资金，一些扶贫资金直接拨入预算内</w:t>
      </w:r>
      <w:r>
        <w:rPr>
          <w:rFonts w:hint="eastAsia" w:ascii="仿宋_GB2312" w:hAnsi="仿宋" w:eastAsia="仿宋_GB2312" w:cs="仿宋"/>
          <w:color w:val="000000"/>
          <w:sz w:val="32"/>
          <w:szCs w:val="32"/>
          <w:highlight w:val="none"/>
          <w:lang w:val="en-US" w:eastAsia="zh-CN"/>
        </w:rPr>
        <w:t>；</w:t>
      </w:r>
      <w:r>
        <w:rPr>
          <w:rFonts w:hint="eastAsia" w:ascii="仿宋_GB2312" w:hAnsi="仿宋" w:eastAsia="仿宋_GB2312" w:cs="仿宋"/>
          <w:color w:val="000000"/>
          <w:sz w:val="32"/>
          <w:szCs w:val="32"/>
          <w:highlight w:val="none"/>
          <w:lang w:val="en-US" w:eastAsia="zh-CN"/>
        </w:rPr>
        <w:t>基本建设类支出减幅超过20%，主要是因为扶贫资金减少基建项目，多为产业扶持；培训费增幅超过20%，主要是因为扶贫及各类民生工作培训增多；会议费减幅超过20%，主要是因为贯彻执行减少文山会海，精简会议；</w:t>
      </w:r>
      <w:r>
        <w:rPr>
          <w:rFonts w:hint="eastAsia" w:ascii="仿宋_GB2312" w:hAnsi="仿宋" w:eastAsia="仿宋_GB2312" w:cs="仿宋"/>
          <w:color w:val="000000"/>
          <w:sz w:val="32"/>
          <w:szCs w:val="32"/>
          <w:highlight w:val="none"/>
        </w:rPr>
        <w:t>机构人员指标上下年</w:t>
      </w:r>
      <w:r>
        <w:rPr>
          <w:rFonts w:hint="eastAsia" w:ascii="仿宋_GB2312" w:hAnsi="仿宋" w:eastAsia="仿宋_GB2312" w:cs="仿宋"/>
          <w:color w:val="000000"/>
          <w:sz w:val="32"/>
          <w:szCs w:val="32"/>
          <w:highlight w:val="none"/>
          <w:lang w:val="en-US" w:eastAsia="zh-CN"/>
        </w:rPr>
        <w:t>增幅超过20%，非参公事业人员增加14人，主要是因为机构改革，林业、畜牧、国土并入乡镇，人员增多，行政人员增加1人是因为新进公务员及人员调动</w:t>
      </w:r>
      <w:r>
        <w:rPr>
          <w:rFonts w:hint="eastAsia" w:ascii="仿宋_GB2312" w:hAnsi="仿宋" w:eastAsia="仿宋_GB2312" w:cs="仿宋"/>
          <w:color w:val="000000"/>
          <w:sz w:val="32"/>
          <w:szCs w:val="32"/>
          <w:highlight w:val="none"/>
        </w:rPr>
        <w:t>（附表</w:t>
      </w:r>
      <w:r>
        <w:rPr>
          <w:rFonts w:hint="eastAsia" w:ascii="仿宋_GB2312" w:hAnsi="仿宋" w:eastAsia="仿宋_GB2312" w:cs="仿宋"/>
          <w:bCs/>
          <w:color w:val="000000"/>
          <w:sz w:val="32"/>
          <w:szCs w:val="32"/>
          <w:highlight w:val="none"/>
        </w:rPr>
        <w:t>2</w:t>
      </w:r>
      <w:r>
        <w:rPr>
          <w:rFonts w:hint="eastAsia" w:ascii="仿宋_GB2312" w:hAnsi="仿宋" w:eastAsia="仿宋_GB2312" w:cs="仿宋"/>
          <w:color w:val="000000"/>
          <w:sz w:val="32"/>
          <w:szCs w:val="32"/>
          <w:highlight w:val="none"/>
        </w:rPr>
        <w:t>）。</w:t>
      </w:r>
    </w:p>
    <w:p>
      <w:pPr>
        <w:ind w:firstLine="709"/>
        <w:rPr>
          <w:rFonts w:ascii="黑体" w:hAnsi="黑体" w:eastAsia="黑体" w:cs="黑体"/>
          <w:color w:val="000000"/>
          <w:sz w:val="32"/>
          <w:szCs w:val="32"/>
          <w:highlight w:val="none"/>
        </w:rPr>
      </w:pPr>
      <w:r>
        <w:rPr>
          <w:rFonts w:hint="eastAsia" w:ascii="仿宋_GB2312" w:eastAsia="仿宋_GB2312" w:cs="Times New Roman"/>
          <w:color w:val="000000"/>
          <w:sz w:val="32"/>
          <w:szCs w:val="32"/>
          <w:highlight w:val="none"/>
        </w:rPr>
        <w:t> </w:t>
      </w:r>
      <w:r>
        <w:rPr>
          <w:rFonts w:hint="eastAsia" w:ascii="黑体" w:hAnsi="黑体" w:eastAsia="黑体" w:cs="黑体"/>
          <w:color w:val="000000"/>
          <w:sz w:val="32"/>
          <w:szCs w:val="32"/>
          <w:highlight w:val="none"/>
        </w:rPr>
        <w:t>四、报表审核情况</w:t>
      </w:r>
    </w:p>
    <w:p>
      <w:pPr>
        <w:ind w:firstLine="709"/>
        <w:rPr>
          <w:rFonts w:ascii="楷体_GB2312" w:hAnsi="仿宋" w:eastAsia="楷体_GB2312" w:cs="仿宋"/>
          <w:b/>
          <w:color w:val="000000"/>
          <w:sz w:val="32"/>
          <w:szCs w:val="32"/>
          <w:highlight w:val="none"/>
        </w:rPr>
      </w:pPr>
      <w:r>
        <w:rPr>
          <w:rFonts w:hint="eastAsia" w:ascii="楷体_GB2312" w:hAnsi="仿宋" w:eastAsia="楷体_GB2312" w:cs="仿宋"/>
          <w:b/>
          <w:color w:val="000000"/>
          <w:sz w:val="32"/>
          <w:szCs w:val="32"/>
          <w:highlight w:val="none"/>
        </w:rPr>
        <w:t>（一）审核情况。</w:t>
      </w:r>
    </w:p>
    <w:p>
      <w:pPr>
        <w:ind w:firstLine="709"/>
        <w:rPr>
          <w:rFonts w:hint="default"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套表审核完全正确</w:t>
      </w:r>
    </w:p>
    <w:p>
      <w:pPr>
        <w:ind w:firstLine="709"/>
        <w:rPr>
          <w:rFonts w:ascii="楷体_GB2312" w:hAnsi="Times New Roman" w:eastAsia="楷体_GB2312" w:cs="Times New Roman"/>
          <w:b/>
          <w:color w:val="auto"/>
          <w:sz w:val="32"/>
          <w:szCs w:val="32"/>
          <w:highlight w:val="none"/>
        </w:rPr>
      </w:pPr>
      <w:r>
        <w:rPr>
          <w:rFonts w:hint="eastAsia" w:ascii="楷体_GB2312" w:hAnsi="仿宋" w:eastAsia="楷体_GB2312" w:cs="仿宋"/>
          <w:b/>
          <w:color w:val="auto"/>
          <w:sz w:val="32"/>
          <w:szCs w:val="32"/>
          <w:highlight w:val="none"/>
        </w:rPr>
        <w:t>（二）对报表指标、审核公式和审核模板的设置建议。</w:t>
      </w:r>
    </w:p>
    <w:p>
      <w:pPr>
        <w:ind w:firstLine="709"/>
        <w:rPr>
          <w:rFonts w:ascii="仿宋_GB2312" w:hAnsi="仿宋" w:eastAsia="仿宋_GB2312" w:cs="Times New Roman"/>
          <w:color w:val="auto"/>
          <w:sz w:val="32"/>
          <w:szCs w:val="32"/>
          <w:highlight w:val="none"/>
        </w:rPr>
      </w:pPr>
      <w:r>
        <w:rPr>
          <w:rFonts w:hint="eastAsia" w:ascii="仿宋_GB2312" w:hAnsi="仿宋" w:eastAsia="仿宋_GB2312" w:cs="仿宋"/>
          <w:color w:val="auto"/>
          <w:sz w:val="32"/>
          <w:szCs w:val="32"/>
          <w:highlight w:val="none"/>
          <w:lang w:val="en-US" w:eastAsia="zh-CN"/>
        </w:rPr>
        <w:t>没有</w:t>
      </w:r>
      <w:r>
        <w:rPr>
          <w:rFonts w:hint="eastAsia" w:ascii="仿宋_GB2312" w:hAnsi="仿宋" w:eastAsia="仿宋_GB2312" w:cs="仿宋"/>
          <w:color w:val="auto"/>
          <w:sz w:val="32"/>
          <w:szCs w:val="32"/>
          <w:highlight w:val="none"/>
        </w:rPr>
        <w:t>对部门决算报表指标</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lang w:val="en-US" w:eastAsia="zh-CN"/>
        </w:rPr>
        <w:t>审核公式和审核模板</w:t>
      </w:r>
      <w:r>
        <w:rPr>
          <w:rFonts w:hint="eastAsia" w:ascii="仿宋_GB2312" w:hAnsi="仿宋" w:eastAsia="仿宋_GB2312" w:cs="仿宋"/>
          <w:color w:val="auto"/>
          <w:sz w:val="32"/>
          <w:szCs w:val="32"/>
          <w:highlight w:val="none"/>
        </w:rPr>
        <w:t>设置的建议。</w:t>
      </w:r>
    </w:p>
    <w:p>
      <w:pPr>
        <w:ind w:firstLine="709"/>
        <w:rPr>
          <w:rFonts w:ascii="黑体" w:hAnsi="黑体" w:eastAsia="黑体" w:cs="Times New Roman"/>
          <w:color w:val="auto"/>
          <w:sz w:val="32"/>
          <w:szCs w:val="32"/>
          <w:highlight w:val="none"/>
        </w:rPr>
      </w:pPr>
      <w:r>
        <w:rPr>
          <w:rFonts w:hint="eastAsia" w:ascii="黑体" w:hAnsi="黑体" w:eastAsia="黑体" w:cs="黑体"/>
          <w:color w:val="auto"/>
          <w:sz w:val="32"/>
          <w:szCs w:val="32"/>
          <w:highlight w:val="none"/>
        </w:rPr>
        <w:t>五、决算数据其他需要说明的情况</w:t>
      </w:r>
    </w:p>
    <w:p>
      <w:pPr>
        <w:ind w:firstLine="709"/>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1．“收入决算表”中</w:t>
      </w:r>
      <w:r>
        <w:rPr>
          <w:rFonts w:hint="eastAsia" w:ascii="仿宋_GB2312" w:hAnsi="仿宋" w:eastAsia="仿宋_GB2312" w:cs="仿宋"/>
          <w:color w:val="auto"/>
          <w:spacing w:val="6"/>
          <w:sz w:val="32"/>
          <w:szCs w:val="32"/>
          <w:highlight w:val="none"/>
        </w:rPr>
        <w:t>其他收入的具体构成情况，</w:t>
      </w:r>
      <w:r>
        <w:rPr>
          <w:rFonts w:hint="eastAsia" w:ascii="仿宋_GB2312" w:hAnsi="仿宋" w:eastAsia="仿宋_GB2312" w:cs="仿宋"/>
          <w:color w:val="auto"/>
          <w:spacing w:val="6"/>
          <w:sz w:val="32"/>
          <w:szCs w:val="32"/>
          <w:highlight w:val="none"/>
          <w:lang w:val="en-US" w:eastAsia="zh-CN"/>
        </w:rPr>
        <w:t>主</w:t>
      </w:r>
      <w:r>
        <w:rPr>
          <w:rFonts w:hint="eastAsia" w:ascii="仿宋_GB2312" w:hAnsi="仿宋" w:eastAsia="仿宋_GB2312" w:cs="仿宋"/>
          <w:color w:val="000000"/>
          <w:spacing w:val="6"/>
          <w:sz w:val="32"/>
          <w:szCs w:val="32"/>
          <w:highlight w:val="none"/>
          <w:lang w:val="en-US" w:eastAsia="zh-CN"/>
        </w:rPr>
        <w:t>要由扶贫公司拨付的扶贫项目工程款，老农保清退资金，以前年度留存资金构成</w:t>
      </w:r>
      <w:r>
        <w:rPr>
          <w:rFonts w:hint="eastAsia" w:ascii="仿宋_GB2312" w:hAnsi="仿宋" w:eastAsia="仿宋_GB2312" w:cs="仿宋"/>
          <w:color w:val="auto"/>
          <w:sz w:val="32"/>
          <w:szCs w:val="32"/>
          <w:highlight w:val="none"/>
        </w:rPr>
        <w:t>（附表</w:t>
      </w:r>
      <w:r>
        <w:rPr>
          <w:rFonts w:hint="eastAsia" w:ascii="仿宋_GB2312" w:hAnsi="仿宋" w:eastAsia="仿宋_GB2312" w:cs="仿宋"/>
          <w:bCs/>
          <w:color w:val="auto"/>
          <w:sz w:val="32"/>
          <w:szCs w:val="32"/>
          <w:highlight w:val="none"/>
        </w:rPr>
        <w:t>3</w:t>
      </w:r>
      <w:r>
        <w:rPr>
          <w:rFonts w:hint="eastAsia" w:ascii="仿宋_GB2312" w:hAnsi="仿宋" w:eastAsia="仿宋_GB2312" w:cs="仿宋"/>
          <w:color w:val="auto"/>
          <w:sz w:val="32"/>
          <w:szCs w:val="32"/>
          <w:highlight w:val="none"/>
        </w:rPr>
        <w:t>）。</w:t>
      </w:r>
    </w:p>
    <w:p>
      <w:pPr>
        <w:ind w:firstLine="709"/>
        <w:rPr>
          <w:rFonts w:hint="eastAsia" w:ascii="仿宋_GB2312" w:hAnsi="仿宋" w:eastAsia="仿宋_GB2312" w:cs="仿宋"/>
          <w:color w:val="000000"/>
          <w:sz w:val="32"/>
          <w:szCs w:val="32"/>
          <w:highlight w:val="none"/>
        </w:rPr>
      </w:pPr>
      <w:r>
        <w:rPr>
          <w:rFonts w:hint="eastAsia" w:ascii="仿宋_GB2312" w:hAnsi="仿宋" w:eastAsia="仿宋_GB2312" w:cs="仿宋"/>
          <w:color w:val="auto"/>
          <w:sz w:val="32"/>
          <w:szCs w:val="32"/>
          <w:highlight w:val="none"/>
          <w:lang w:val="en-US" w:eastAsia="zh-CN"/>
        </w:rPr>
        <w:t>2</w:t>
      </w:r>
      <w:r>
        <w:rPr>
          <w:rFonts w:hint="eastAsia" w:ascii="仿宋_GB2312" w:hAnsi="仿宋" w:eastAsia="仿宋_GB2312" w:cs="仿宋"/>
          <w:color w:val="auto"/>
          <w:sz w:val="32"/>
          <w:szCs w:val="32"/>
          <w:highlight w:val="none"/>
        </w:rPr>
        <w:t>.</w:t>
      </w:r>
      <w:r>
        <w:rPr>
          <w:rFonts w:hint="eastAsia" w:ascii="仿宋_GB2312" w:hAnsi="仿宋" w:eastAsia="仿宋_GB2312" w:cs="仿宋"/>
          <w:color w:val="000000"/>
          <w:sz w:val="32"/>
          <w:szCs w:val="32"/>
          <w:highlight w:val="none"/>
        </w:rPr>
        <w:t>“三公”经费</w:t>
      </w:r>
      <w:r>
        <w:rPr>
          <w:rFonts w:hint="eastAsia" w:ascii="仿宋_GB2312" w:hAnsi="仿宋" w:eastAsia="仿宋_GB2312" w:cs="仿宋"/>
          <w:color w:val="000000"/>
          <w:sz w:val="32"/>
          <w:szCs w:val="32"/>
          <w:highlight w:val="none"/>
          <w:lang w:val="en-US" w:eastAsia="zh-CN"/>
        </w:rPr>
        <w:t>本年</w:t>
      </w:r>
      <w:r>
        <w:rPr>
          <w:rFonts w:hint="eastAsia" w:ascii="仿宋_GB2312" w:hAnsi="仿宋" w:eastAsia="仿宋_GB2312" w:cs="仿宋"/>
          <w:color w:val="000000"/>
          <w:sz w:val="32"/>
          <w:szCs w:val="32"/>
          <w:highlight w:val="none"/>
        </w:rPr>
        <w:t>总额</w:t>
      </w:r>
      <w:r>
        <w:rPr>
          <w:rFonts w:hint="eastAsia" w:ascii="仿宋_GB2312" w:hAnsi="仿宋" w:eastAsia="仿宋_GB2312" w:cs="仿宋"/>
          <w:color w:val="000000"/>
          <w:sz w:val="32"/>
          <w:szCs w:val="32"/>
          <w:highlight w:val="none"/>
          <w:lang w:val="en-US" w:eastAsia="zh-CN"/>
        </w:rPr>
        <w:t>为10.31万元，</w:t>
      </w:r>
      <w:r>
        <w:rPr>
          <w:rFonts w:hint="eastAsia" w:ascii="仿宋_GB2312" w:hAnsi="仿宋" w:eastAsia="仿宋_GB2312" w:cs="仿宋"/>
          <w:color w:val="000000"/>
          <w:sz w:val="32"/>
          <w:szCs w:val="32"/>
          <w:highlight w:val="none"/>
        </w:rPr>
        <w:t>与年初预算数</w:t>
      </w:r>
      <w:r>
        <w:rPr>
          <w:rFonts w:hint="eastAsia" w:ascii="仿宋_GB2312" w:hAnsi="仿宋" w:eastAsia="仿宋_GB2312" w:cs="仿宋"/>
          <w:color w:val="000000"/>
          <w:sz w:val="32"/>
          <w:szCs w:val="32"/>
          <w:highlight w:val="none"/>
          <w:lang w:val="en-US" w:eastAsia="zh-CN"/>
        </w:rPr>
        <w:t>31万元相差20.69万元，比上年决算数减少0.05万元</w:t>
      </w:r>
      <w:r>
        <w:rPr>
          <w:rFonts w:hint="eastAsia" w:ascii="仿宋_GB2312" w:hAnsi="仿宋" w:eastAsia="仿宋_GB2312" w:cs="仿宋"/>
          <w:color w:val="000000"/>
          <w:sz w:val="32"/>
          <w:szCs w:val="32"/>
          <w:highlight w:val="none"/>
          <w:lang w:val="en-US" w:eastAsia="zh-CN"/>
        </w:rPr>
        <w:t>；因</w:t>
      </w:r>
      <w:r>
        <w:rPr>
          <w:rFonts w:hint="eastAsia" w:ascii="仿宋_GB2312" w:hAnsi="仿宋" w:eastAsia="仿宋_GB2312" w:cs="仿宋"/>
          <w:color w:val="000000"/>
          <w:sz w:val="32"/>
          <w:szCs w:val="32"/>
          <w:highlight w:val="none"/>
          <w:lang w:val="en-US" w:eastAsia="zh-CN"/>
        </w:rPr>
        <w:t>公出国（境）费0元，</w:t>
      </w:r>
      <w:r>
        <w:rPr>
          <w:rFonts w:hint="eastAsia" w:ascii="仿宋_GB2312" w:hAnsi="仿宋" w:eastAsia="仿宋_GB2312" w:cs="仿宋"/>
          <w:color w:val="000000"/>
          <w:sz w:val="32"/>
          <w:szCs w:val="32"/>
          <w:highlight w:val="none"/>
        </w:rPr>
        <w:t>与年初预算数、上年决算数</w:t>
      </w:r>
      <w:r>
        <w:rPr>
          <w:rFonts w:hint="eastAsia" w:ascii="仿宋_GB2312" w:hAnsi="仿宋" w:eastAsia="仿宋_GB2312" w:cs="仿宋"/>
          <w:color w:val="000000"/>
          <w:sz w:val="32"/>
          <w:szCs w:val="32"/>
          <w:highlight w:val="none"/>
          <w:lang w:val="en-US" w:eastAsia="zh-CN"/>
        </w:rPr>
        <w:t>均无变化；公务用车购置及运行维护费为5.87万元，比年初预算数13万元减少5.87万元，比上年决算数增减0.52万元；公务接待费为4.42万元，比年初预算数18万元减少13.58万元，比上年决算数减少0.58万元。本年度</w:t>
      </w:r>
      <w:r>
        <w:rPr>
          <w:rFonts w:hint="eastAsia" w:ascii="仿宋_GB2312" w:hAnsi="仿宋" w:eastAsia="仿宋_GB2312" w:cs="仿宋"/>
          <w:color w:val="000000"/>
          <w:sz w:val="32"/>
          <w:szCs w:val="32"/>
          <w:highlight w:val="none"/>
        </w:rPr>
        <w:t>“三公”经费</w:t>
      </w:r>
      <w:r>
        <w:rPr>
          <w:rFonts w:hint="eastAsia" w:ascii="仿宋_GB2312" w:hAnsi="仿宋" w:eastAsia="仿宋_GB2312" w:cs="仿宋"/>
          <w:color w:val="000000"/>
          <w:sz w:val="32"/>
          <w:szCs w:val="32"/>
          <w:highlight w:val="none"/>
          <w:lang w:val="en-US" w:eastAsia="zh-CN"/>
        </w:rPr>
        <w:t>较去年均下降的原因一是由于经费减少，各项开支均减少；二是严格执行财务制度，严格控制公务接待及公车运行的费用。本年度没有购置</w:t>
      </w:r>
      <w:r>
        <w:rPr>
          <w:rFonts w:hint="eastAsia" w:ascii="仿宋_GB2312" w:hAnsi="仿宋" w:eastAsia="仿宋_GB2312" w:cs="仿宋"/>
          <w:color w:val="000000"/>
          <w:sz w:val="32"/>
          <w:szCs w:val="32"/>
          <w:highlight w:val="none"/>
        </w:rPr>
        <w:t>公务用车</w:t>
      </w:r>
      <w:r>
        <w:rPr>
          <w:rFonts w:hint="eastAsia" w:ascii="仿宋_GB2312" w:hAnsi="仿宋" w:eastAsia="仿宋_GB2312" w:cs="仿宋"/>
          <w:color w:val="000000"/>
          <w:sz w:val="32"/>
          <w:szCs w:val="32"/>
          <w:highlight w:val="none"/>
          <w:lang w:eastAsia="zh-CN"/>
        </w:rPr>
        <w:t>，</w:t>
      </w:r>
      <w:r>
        <w:rPr>
          <w:rFonts w:hint="eastAsia" w:ascii="仿宋_GB2312" w:hAnsi="仿宋" w:eastAsia="仿宋_GB2312" w:cs="仿宋"/>
          <w:color w:val="000000"/>
          <w:sz w:val="32"/>
          <w:szCs w:val="32"/>
          <w:highlight w:val="none"/>
        </w:rPr>
        <w:t>公务用车保有量</w:t>
      </w:r>
      <w:r>
        <w:rPr>
          <w:rFonts w:hint="eastAsia" w:ascii="仿宋_GB2312" w:hAnsi="仿宋" w:eastAsia="仿宋_GB2312" w:cs="仿宋"/>
          <w:color w:val="000000"/>
          <w:sz w:val="32"/>
          <w:szCs w:val="32"/>
          <w:highlight w:val="none"/>
          <w:lang w:val="en-US" w:eastAsia="zh-CN"/>
        </w:rPr>
        <w:t>为一台</w:t>
      </w:r>
      <w:r>
        <w:rPr>
          <w:rFonts w:hint="eastAsia" w:ascii="仿宋_GB2312" w:hAnsi="仿宋" w:eastAsia="仿宋_GB2312" w:cs="仿宋"/>
          <w:color w:val="000000"/>
          <w:sz w:val="32"/>
          <w:szCs w:val="32"/>
          <w:highlight w:val="none"/>
          <w:lang w:eastAsia="zh-CN"/>
        </w:rPr>
        <w:t>，</w:t>
      </w:r>
      <w:r>
        <w:rPr>
          <w:rFonts w:hint="eastAsia" w:ascii="仿宋_GB2312" w:hAnsi="仿宋" w:eastAsia="仿宋_GB2312" w:cs="仿宋"/>
          <w:color w:val="000000"/>
          <w:sz w:val="32"/>
          <w:szCs w:val="32"/>
          <w:highlight w:val="none"/>
          <w:lang w:val="en-US" w:eastAsia="zh-CN"/>
        </w:rPr>
        <w:t>无</w:t>
      </w:r>
      <w:r>
        <w:rPr>
          <w:rFonts w:hint="eastAsia" w:ascii="仿宋_GB2312" w:hAnsi="仿宋" w:eastAsia="仿宋_GB2312" w:cs="仿宋"/>
          <w:color w:val="000000"/>
          <w:sz w:val="32"/>
          <w:szCs w:val="32"/>
          <w:highlight w:val="none"/>
        </w:rPr>
        <w:t>因公出国（境）</w:t>
      </w:r>
      <w:r>
        <w:rPr>
          <w:rFonts w:hint="eastAsia" w:ascii="仿宋_GB2312" w:hAnsi="仿宋" w:eastAsia="仿宋_GB2312" w:cs="仿宋"/>
          <w:color w:val="000000"/>
          <w:sz w:val="32"/>
          <w:szCs w:val="32"/>
          <w:highlight w:val="none"/>
          <w:lang w:eastAsia="zh-CN"/>
        </w:rPr>
        <w:t>，</w:t>
      </w:r>
      <w:r>
        <w:rPr>
          <w:rFonts w:hint="eastAsia" w:ascii="仿宋_GB2312" w:hAnsi="仿宋" w:eastAsia="仿宋_GB2312" w:cs="仿宋"/>
          <w:color w:val="000000"/>
          <w:sz w:val="32"/>
          <w:szCs w:val="32"/>
          <w:highlight w:val="none"/>
        </w:rPr>
        <w:t>公务接待批次</w:t>
      </w:r>
      <w:r>
        <w:rPr>
          <w:rFonts w:hint="eastAsia" w:ascii="仿宋_GB2312" w:hAnsi="仿宋" w:eastAsia="仿宋_GB2312" w:cs="仿宋"/>
          <w:color w:val="000000"/>
          <w:sz w:val="32"/>
          <w:szCs w:val="32"/>
          <w:highlight w:val="none"/>
          <w:lang w:val="en-US" w:eastAsia="zh-CN"/>
        </w:rPr>
        <w:t>105次，856人次</w:t>
      </w:r>
      <w:r>
        <w:rPr>
          <w:rFonts w:hint="eastAsia" w:ascii="仿宋_GB2312" w:hAnsi="仿宋" w:eastAsia="仿宋_GB2312" w:cs="仿宋"/>
          <w:color w:val="000000"/>
          <w:sz w:val="32"/>
          <w:szCs w:val="32"/>
          <w:highlight w:val="none"/>
        </w:rPr>
        <w:t>。</w:t>
      </w:r>
    </w:p>
    <w:p>
      <w:pPr>
        <w:ind w:firstLine="709"/>
        <w:rPr>
          <w:rFonts w:ascii="仿宋_GB2312" w:hAnsi="仿宋" w:eastAsia="仿宋_GB2312" w:cs="仿宋"/>
          <w:color w:val="000000"/>
          <w:sz w:val="32"/>
          <w:szCs w:val="32"/>
          <w:highlight w:val="none"/>
        </w:rPr>
      </w:pPr>
      <w:r>
        <w:rPr>
          <w:rFonts w:hint="eastAsia" w:ascii="仿宋_GB2312" w:hAnsi="仿宋" w:eastAsia="仿宋_GB2312" w:cs="仿宋"/>
          <w:bCs/>
          <w:color w:val="auto"/>
          <w:sz w:val="32"/>
          <w:szCs w:val="32"/>
          <w:highlight w:val="none"/>
          <w:lang w:val="en-US" w:eastAsia="zh-CN"/>
        </w:rPr>
        <w:t>3</w:t>
      </w:r>
      <w:r>
        <w:rPr>
          <w:rFonts w:hint="eastAsia" w:ascii="仿宋_GB2312" w:hAnsi="仿宋" w:eastAsia="仿宋_GB2312" w:cs="仿宋"/>
          <w:bCs/>
          <w:color w:val="auto"/>
          <w:sz w:val="32"/>
          <w:szCs w:val="32"/>
          <w:highlight w:val="none"/>
        </w:rPr>
        <w:t>.“收入支出决算总表”中如调</w:t>
      </w:r>
      <w:r>
        <w:rPr>
          <w:rFonts w:hint="eastAsia" w:ascii="仿宋_GB2312" w:hAnsi="仿宋" w:eastAsia="仿宋_GB2312" w:cs="仿宋"/>
          <w:bCs/>
          <w:color w:val="000000"/>
          <w:sz w:val="32"/>
          <w:szCs w:val="32"/>
          <w:highlight w:val="none"/>
        </w:rPr>
        <w:t>整预算数大于年初预算数，</w:t>
      </w:r>
      <w:r>
        <w:rPr>
          <w:rFonts w:hint="eastAsia" w:ascii="仿宋_GB2312" w:hAnsi="仿宋" w:eastAsia="仿宋_GB2312" w:cs="仿宋"/>
          <w:color w:val="000000"/>
          <w:sz w:val="32"/>
          <w:szCs w:val="32"/>
          <w:highlight w:val="none"/>
          <w:lang w:val="en-US" w:eastAsia="zh-CN"/>
        </w:rPr>
        <w:t>主要原因是因为年初预算数只做了基本支出预算，中途上级整合了各项扶贫项目拨付到村，所以调整了预算数。</w:t>
      </w:r>
    </w:p>
    <w:p>
      <w:pPr>
        <w:rPr>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Pr>
        <w:rFonts w:ascii="Arial" w:hAnsi="Arial" w:cs="Arial"/>
        <w:sz w:val="24"/>
        <w:szCs w:val="24"/>
        <w:lang w:val="zh-CN"/>
      </w:rPr>
      <w:t>4</w:t>
    </w:r>
    <w:r>
      <w:rPr>
        <w:rFonts w:ascii="Arial" w:hAnsi="Arial" w:cs="Arial"/>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7C3"/>
    <w:rsid w:val="000A1A07"/>
    <w:rsid w:val="001A527B"/>
    <w:rsid w:val="002C0140"/>
    <w:rsid w:val="002C6963"/>
    <w:rsid w:val="003877C3"/>
    <w:rsid w:val="00522486"/>
    <w:rsid w:val="005502D5"/>
    <w:rsid w:val="00576055"/>
    <w:rsid w:val="00601750"/>
    <w:rsid w:val="006210EA"/>
    <w:rsid w:val="006231DE"/>
    <w:rsid w:val="0068308D"/>
    <w:rsid w:val="006B17A2"/>
    <w:rsid w:val="007329D4"/>
    <w:rsid w:val="00760F51"/>
    <w:rsid w:val="007C00B5"/>
    <w:rsid w:val="00822C60"/>
    <w:rsid w:val="008B4CF8"/>
    <w:rsid w:val="008D1A61"/>
    <w:rsid w:val="008E5B2B"/>
    <w:rsid w:val="009E77A1"/>
    <w:rsid w:val="00AF40A1"/>
    <w:rsid w:val="00BB0B4D"/>
    <w:rsid w:val="00BD6CD3"/>
    <w:rsid w:val="00D6432C"/>
    <w:rsid w:val="00DA1F66"/>
    <w:rsid w:val="00DA4E30"/>
    <w:rsid w:val="00E1090A"/>
    <w:rsid w:val="00E329F1"/>
    <w:rsid w:val="00EB18AC"/>
    <w:rsid w:val="00EE0CEF"/>
    <w:rsid w:val="00FC360F"/>
    <w:rsid w:val="00FE6666"/>
    <w:rsid w:val="048D4550"/>
    <w:rsid w:val="0C4C50B0"/>
    <w:rsid w:val="0E5F15F8"/>
    <w:rsid w:val="0E8D72FF"/>
    <w:rsid w:val="11D51D34"/>
    <w:rsid w:val="12863EF6"/>
    <w:rsid w:val="137C378B"/>
    <w:rsid w:val="14A93C8C"/>
    <w:rsid w:val="17784E74"/>
    <w:rsid w:val="1A757130"/>
    <w:rsid w:val="224C2753"/>
    <w:rsid w:val="22657E82"/>
    <w:rsid w:val="24790FA9"/>
    <w:rsid w:val="26BB1123"/>
    <w:rsid w:val="27152366"/>
    <w:rsid w:val="2C4227BF"/>
    <w:rsid w:val="30A047F9"/>
    <w:rsid w:val="30C24319"/>
    <w:rsid w:val="34D963E2"/>
    <w:rsid w:val="35373BE5"/>
    <w:rsid w:val="35BD5D3A"/>
    <w:rsid w:val="38007442"/>
    <w:rsid w:val="38B61152"/>
    <w:rsid w:val="3AAE3851"/>
    <w:rsid w:val="3EF952FD"/>
    <w:rsid w:val="42A33A00"/>
    <w:rsid w:val="45844C17"/>
    <w:rsid w:val="49201FD2"/>
    <w:rsid w:val="4BA312B6"/>
    <w:rsid w:val="4EE429A3"/>
    <w:rsid w:val="59A02E3A"/>
    <w:rsid w:val="5D521C1E"/>
    <w:rsid w:val="5F392E0C"/>
    <w:rsid w:val="5FE378E6"/>
    <w:rsid w:val="765724D8"/>
    <w:rsid w:val="790F6562"/>
    <w:rsid w:val="7CF82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5"/>
    <w:qFormat/>
    <w:uiPriority w:val="0"/>
    <w:rPr>
      <w:rFonts w:cs="Times New Roman"/>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character" w:styleId="7">
    <w:name w:val="FollowedHyperlink"/>
    <w:semiHidden/>
    <w:qFormat/>
    <w:uiPriority w:val="99"/>
    <w:rPr>
      <w:color w:val="800080"/>
      <w:u w:val="single"/>
    </w:rPr>
  </w:style>
  <w:style w:type="character" w:styleId="8">
    <w:name w:val="Hyperlink"/>
    <w:semiHidden/>
    <w:qFormat/>
    <w:uiPriority w:val="99"/>
    <w:rPr>
      <w:color w:val="0000FF"/>
      <w:u w:val="single"/>
    </w:rPr>
  </w:style>
  <w:style w:type="character" w:customStyle="1" w:styleId="9">
    <w:name w:val="页脚 Char"/>
    <w:basedOn w:val="6"/>
    <w:semiHidden/>
    <w:qFormat/>
    <w:uiPriority w:val="99"/>
    <w:rPr>
      <w:rFonts w:ascii="Calibri" w:hAnsi="Calibri" w:eastAsia="宋体" w:cs="Calibri"/>
      <w:sz w:val="18"/>
      <w:szCs w:val="18"/>
    </w:rPr>
  </w:style>
  <w:style w:type="character" w:customStyle="1" w:styleId="10">
    <w:name w:val="页脚 Char1"/>
    <w:link w:val="3"/>
    <w:qFormat/>
    <w:locked/>
    <w:uiPriority w:val="99"/>
    <w:rPr>
      <w:rFonts w:ascii="Times New Roman" w:hAnsi="Times New Roman" w:eastAsia="宋体" w:cs="Times New Roman"/>
      <w:kern w:val="0"/>
      <w:sz w:val="18"/>
      <w:szCs w:val="18"/>
    </w:rPr>
  </w:style>
  <w:style w:type="character" w:customStyle="1" w:styleId="11">
    <w:name w:val="页眉 Char"/>
    <w:basedOn w:val="6"/>
    <w:semiHidden/>
    <w:qFormat/>
    <w:uiPriority w:val="99"/>
    <w:rPr>
      <w:rFonts w:ascii="Calibri" w:hAnsi="Calibri" w:eastAsia="宋体" w:cs="Calibri"/>
      <w:sz w:val="18"/>
      <w:szCs w:val="18"/>
    </w:rPr>
  </w:style>
  <w:style w:type="character" w:customStyle="1" w:styleId="12">
    <w:name w:val="页眉 Char1"/>
    <w:link w:val="4"/>
    <w:qFormat/>
    <w:locked/>
    <w:uiPriority w:val="99"/>
    <w:rPr>
      <w:rFonts w:ascii="Times New Roman" w:hAnsi="Times New Roman" w:eastAsia="宋体" w:cs="Times New Roman"/>
      <w:kern w:val="0"/>
      <w:sz w:val="18"/>
      <w:szCs w:val="18"/>
    </w:rPr>
  </w:style>
  <w:style w:type="character" w:customStyle="1" w:styleId="13">
    <w:name w:val="apple-converted-space"/>
    <w:basedOn w:val="6"/>
    <w:qFormat/>
    <w:uiPriority w:val="99"/>
  </w:style>
  <w:style w:type="character" w:customStyle="1" w:styleId="14">
    <w:name w:val="批注框文本 Char"/>
    <w:basedOn w:val="6"/>
    <w:semiHidden/>
    <w:qFormat/>
    <w:uiPriority w:val="99"/>
    <w:rPr>
      <w:rFonts w:ascii="Calibri" w:hAnsi="Calibri" w:eastAsia="宋体" w:cs="Calibri"/>
      <w:sz w:val="18"/>
      <w:szCs w:val="18"/>
    </w:rPr>
  </w:style>
  <w:style w:type="character" w:customStyle="1" w:styleId="15">
    <w:name w:val="批注框文本 Char1"/>
    <w:link w:val="2"/>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249</Words>
  <Characters>1421</Characters>
  <Lines>11</Lines>
  <Paragraphs>3</Paragraphs>
  <TotalTime>21</TotalTime>
  <ScaleCrop>false</ScaleCrop>
  <LinksUpToDate>false</LinksUpToDate>
  <CharactersWithSpaces>1667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2018-09-18T01:13:00Z</dcterms:created>
  <dc:creator>闻吉</dc:creator>
  <cp:lastModifiedBy>Administrator</cp:lastModifiedBy>
  <dcterms:modified xsi:type="dcterms:W3CDTF">2021-01-21T09:32:38Z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