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楷体_GB2312"/>
          <w:bCs/>
          <w:kern w:val="0"/>
          <w:sz w:val="32"/>
          <w:szCs w:val="32"/>
        </w:rPr>
      </w:pPr>
      <w:r>
        <w:rPr>
          <w:rFonts w:hint="eastAsia" w:ascii="方正小标宋_GBK" w:eastAsia="方正小标宋_GBK"/>
          <w:bCs/>
          <w:kern w:val="0"/>
          <w:sz w:val="36"/>
          <w:szCs w:val="36"/>
          <w:lang w:eastAsia="zh-CN"/>
        </w:rPr>
        <w:t>东山乡</w:t>
      </w:r>
      <w:r>
        <w:rPr>
          <w:rFonts w:hint="eastAsia" w:ascii="方正小标宋_GBK" w:eastAsia="方正小标宋_GBK"/>
          <w:bCs/>
          <w:kern w:val="0"/>
          <w:sz w:val="36"/>
          <w:szCs w:val="36"/>
        </w:rPr>
        <w:t>部门整体支出绩效目标申报表</w:t>
      </w:r>
      <w:r>
        <w:rPr>
          <w:rFonts w:hint="eastAsia" w:ascii="方正小标宋_GBK" w:eastAsia="方正小标宋_GBK"/>
          <w:bCs/>
          <w:kern w:val="0"/>
          <w:sz w:val="36"/>
          <w:szCs w:val="36"/>
        </w:rPr>
        <w:br w:type="textWrapping"/>
      </w:r>
      <w:r>
        <w:rPr>
          <w:rFonts w:eastAsia="楷体_GB2312"/>
          <w:bCs/>
          <w:kern w:val="0"/>
          <w:sz w:val="32"/>
          <w:szCs w:val="32"/>
        </w:rPr>
        <w:t xml:space="preserve">（ </w:t>
      </w:r>
      <w:r>
        <w:rPr>
          <w:rFonts w:hint="eastAsia" w:eastAsia="楷体_GB2312"/>
          <w:bCs/>
          <w:kern w:val="0"/>
          <w:sz w:val="32"/>
          <w:szCs w:val="32"/>
        </w:rPr>
        <w:t>20</w:t>
      </w:r>
      <w:r>
        <w:rPr>
          <w:rFonts w:hint="eastAsia" w:eastAsia="楷体_GB2312"/>
          <w:bCs/>
          <w:kern w:val="0"/>
          <w:sz w:val="32"/>
          <w:szCs w:val="32"/>
          <w:lang w:val="en-US" w:eastAsia="zh-CN"/>
        </w:rPr>
        <w:t>20</w:t>
      </w:r>
      <w:r>
        <w:rPr>
          <w:rFonts w:eastAsia="楷体_GB2312"/>
          <w:bCs/>
          <w:kern w:val="0"/>
          <w:sz w:val="32"/>
          <w:szCs w:val="32"/>
        </w:rPr>
        <w:t>年度）</w:t>
      </w:r>
    </w:p>
    <w:p>
      <w:pPr>
        <w:widowControl/>
        <w:tabs>
          <w:tab w:val="left" w:pos="2593"/>
        </w:tabs>
        <w:ind w:left="93"/>
        <w:jc w:val="left"/>
        <w:rPr>
          <w:rFonts w:eastAsia="黑体"/>
          <w:kern w:val="0"/>
          <w:szCs w:val="21"/>
        </w:rPr>
      </w:pPr>
      <w:r>
        <w:rPr>
          <w:rFonts w:ascii="宋体" w:hAnsi="宋体"/>
          <w:kern w:val="0"/>
          <w:szCs w:val="21"/>
        </w:rPr>
        <w:t>填报单位（盖章）</w:t>
      </w:r>
      <w:r>
        <w:rPr>
          <w:rFonts w:hint="eastAsia" w:eastAsia="黑体"/>
          <w:kern w:val="0"/>
          <w:szCs w:val="21"/>
        </w:rPr>
        <w:t xml:space="preserve">： </w:t>
      </w:r>
      <w:r>
        <w:rPr>
          <w:rFonts w:hint="eastAsia" w:eastAsia="黑体"/>
          <w:kern w:val="0"/>
          <w:szCs w:val="21"/>
          <w:lang w:eastAsia="zh-CN"/>
        </w:rPr>
        <w:t>东山乡</w:t>
      </w:r>
      <w:r>
        <w:rPr>
          <w:rFonts w:hint="eastAsia" w:eastAsia="黑体"/>
          <w:kern w:val="0"/>
          <w:szCs w:val="21"/>
        </w:rPr>
        <w:t>人民政府</w:t>
      </w:r>
      <w:r>
        <w:rPr>
          <w:rFonts w:eastAsia="黑体"/>
          <w:kern w:val="0"/>
          <w:szCs w:val="21"/>
        </w:rPr>
        <w:tab/>
      </w:r>
    </w:p>
    <w:tbl>
      <w:tblPr>
        <w:tblStyle w:val="8"/>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3"/>
        <w:gridCol w:w="135"/>
        <w:gridCol w:w="1725"/>
        <w:gridCol w:w="1395"/>
        <w:gridCol w:w="1886"/>
        <w:gridCol w:w="16"/>
        <w:gridCol w:w="1028"/>
        <w:gridCol w:w="2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283" w:type="dxa"/>
            <w:vAlign w:val="center"/>
          </w:tcPr>
          <w:p>
            <w:pPr>
              <w:widowControl/>
              <w:jc w:val="center"/>
              <w:rPr>
                <w:rFonts w:ascii="宋体" w:hAnsi="宋体"/>
                <w:kern w:val="0"/>
                <w:szCs w:val="21"/>
                <w:highlight w:val="none"/>
              </w:rPr>
            </w:pPr>
            <w:r>
              <w:rPr>
                <w:rFonts w:ascii="宋体" w:hAnsi="宋体"/>
                <w:kern w:val="0"/>
                <w:szCs w:val="21"/>
                <w:highlight w:val="none"/>
              </w:rPr>
              <w:t>部门名称</w:t>
            </w:r>
          </w:p>
        </w:tc>
        <w:tc>
          <w:tcPr>
            <w:tcW w:w="8357" w:type="dxa"/>
            <w:gridSpan w:val="7"/>
            <w:vAlign w:val="center"/>
          </w:tcPr>
          <w:p>
            <w:pPr>
              <w:widowControl/>
              <w:jc w:val="center"/>
              <w:rPr>
                <w:rFonts w:eastAsia="黑体"/>
                <w:kern w:val="0"/>
                <w:szCs w:val="21"/>
                <w:highlight w:val="none"/>
              </w:rPr>
            </w:pPr>
            <w:r>
              <w:rPr>
                <w:rFonts w:hint="eastAsia" w:eastAsia="黑体"/>
                <w:kern w:val="0"/>
                <w:szCs w:val="21"/>
                <w:highlight w:val="none"/>
                <w:lang w:eastAsia="zh-CN"/>
              </w:rPr>
              <w:t>东山乡</w:t>
            </w:r>
            <w:r>
              <w:rPr>
                <w:rFonts w:hint="eastAsia" w:eastAsia="黑体"/>
                <w:kern w:val="0"/>
                <w:szCs w:val="21"/>
                <w:highlight w:val="none"/>
              </w:rPr>
              <w:t>人民政府</w:t>
            </w:r>
            <w:r>
              <w:rPr>
                <w:rFonts w:eastAsia="黑体"/>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83" w:type="dxa"/>
            <w:vMerge w:val="restart"/>
            <w:vAlign w:val="center"/>
          </w:tcPr>
          <w:p>
            <w:pPr>
              <w:widowControl/>
              <w:jc w:val="center"/>
              <w:rPr>
                <w:rFonts w:ascii="宋体" w:hAnsi="宋体"/>
                <w:kern w:val="0"/>
                <w:szCs w:val="21"/>
                <w:highlight w:val="none"/>
              </w:rPr>
            </w:pPr>
            <w:r>
              <w:rPr>
                <w:rFonts w:ascii="宋体" w:hAnsi="宋体"/>
                <w:kern w:val="0"/>
                <w:szCs w:val="21"/>
                <w:highlight w:val="none"/>
              </w:rPr>
              <w:t>年度预算申请</w:t>
            </w:r>
            <w:r>
              <w:rPr>
                <w:rFonts w:ascii="宋体" w:hAnsi="宋体"/>
                <w:kern w:val="0"/>
                <w:szCs w:val="21"/>
                <w:highlight w:val="none"/>
              </w:rPr>
              <w:br w:type="textWrapping"/>
            </w:r>
            <w:r>
              <w:rPr>
                <w:rFonts w:ascii="宋体" w:hAnsi="宋体"/>
                <w:kern w:val="0"/>
                <w:szCs w:val="21"/>
                <w:highlight w:val="none"/>
              </w:rPr>
              <w:t>（万元）</w:t>
            </w:r>
          </w:p>
        </w:tc>
        <w:tc>
          <w:tcPr>
            <w:tcW w:w="8357" w:type="dxa"/>
            <w:gridSpan w:val="7"/>
            <w:vAlign w:val="center"/>
          </w:tcPr>
          <w:p>
            <w:pPr>
              <w:widowControl/>
              <w:jc w:val="left"/>
              <w:rPr>
                <w:rFonts w:ascii="宋体" w:hAnsi="宋体"/>
                <w:kern w:val="0"/>
                <w:szCs w:val="21"/>
                <w:highlight w:val="none"/>
              </w:rPr>
            </w:pPr>
            <w:r>
              <w:rPr>
                <w:rFonts w:ascii="宋体" w:hAnsi="宋体"/>
                <w:kern w:val="0"/>
                <w:szCs w:val="21"/>
                <w:highlight w:val="none"/>
              </w:rPr>
              <w:t>资金总额：</w:t>
            </w:r>
            <w:r>
              <w:rPr>
                <w:rFonts w:hint="eastAsia"/>
                <w:kern w:val="0"/>
                <w:szCs w:val="21"/>
                <w:highlight w:val="none"/>
                <w:lang w:val="en-US" w:eastAsia="zh-CN"/>
              </w:rPr>
              <w:t>726.19</w:t>
            </w:r>
            <w:r>
              <w:rPr>
                <w:rFonts w:hint="eastAsia"/>
                <w:kern w:val="0"/>
                <w:szCs w:val="21"/>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283" w:type="dxa"/>
            <w:vMerge w:val="continue"/>
            <w:vAlign w:val="center"/>
          </w:tcPr>
          <w:p>
            <w:pPr>
              <w:widowControl/>
              <w:jc w:val="left"/>
              <w:rPr>
                <w:rFonts w:eastAsia="黑体"/>
                <w:kern w:val="0"/>
                <w:szCs w:val="21"/>
                <w:highlight w:val="none"/>
              </w:rPr>
            </w:pPr>
          </w:p>
        </w:tc>
        <w:tc>
          <w:tcPr>
            <w:tcW w:w="5157" w:type="dxa"/>
            <w:gridSpan w:val="5"/>
            <w:vAlign w:val="center"/>
          </w:tcPr>
          <w:p>
            <w:pPr>
              <w:widowControl/>
              <w:jc w:val="left"/>
              <w:rPr>
                <w:rFonts w:ascii="宋体" w:hAnsi="宋体"/>
                <w:kern w:val="0"/>
                <w:szCs w:val="21"/>
                <w:highlight w:val="none"/>
              </w:rPr>
            </w:pPr>
            <w:r>
              <w:rPr>
                <w:rFonts w:ascii="宋体" w:hAnsi="宋体"/>
                <w:kern w:val="0"/>
                <w:szCs w:val="21"/>
                <w:highlight w:val="none"/>
              </w:rPr>
              <w:t>按收入性质分：</w:t>
            </w:r>
          </w:p>
        </w:tc>
        <w:tc>
          <w:tcPr>
            <w:tcW w:w="3200" w:type="dxa"/>
            <w:gridSpan w:val="2"/>
            <w:vAlign w:val="center"/>
          </w:tcPr>
          <w:p>
            <w:pPr>
              <w:widowControl/>
              <w:jc w:val="left"/>
              <w:rPr>
                <w:rFonts w:ascii="宋体" w:hAnsi="宋体"/>
                <w:kern w:val="0"/>
                <w:szCs w:val="21"/>
                <w:highlight w:val="none"/>
              </w:rPr>
            </w:pPr>
            <w:r>
              <w:rPr>
                <w:rFonts w:ascii="宋体" w:hAnsi="宋体"/>
                <w:kern w:val="0"/>
                <w:szCs w:val="21"/>
                <w:highlight w:val="none"/>
              </w:rPr>
              <w:t>按支出性质分：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283" w:type="dxa"/>
            <w:vMerge w:val="continue"/>
            <w:vAlign w:val="center"/>
          </w:tcPr>
          <w:p>
            <w:pPr>
              <w:widowControl/>
              <w:jc w:val="left"/>
              <w:rPr>
                <w:rFonts w:eastAsia="黑体"/>
                <w:kern w:val="0"/>
                <w:szCs w:val="21"/>
                <w:highlight w:val="none"/>
              </w:rPr>
            </w:pPr>
          </w:p>
        </w:tc>
        <w:tc>
          <w:tcPr>
            <w:tcW w:w="5157" w:type="dxa"/>
            <w:gridSpan w:val="5"/>
            <w:vAlign w:val="center"/>
          </w:tcPr>
          <w:p>
            <w:pPr>
              <w:widowControl/>
              <w:ind w:firstLine="105" w:firstLineChars="50"/>
              <w:jc w:val="left"/>
              <w:rPr>
                <w:rFonts w:ascii="宋体" w:hAnsi="宋体"/>
                <w:kern w:val="0"/>
                <w:szCs w:val="21"/>
                <w:highlight w:val="none"/>
              </w:rPr>
            </w:pPr>
            <w:r>
              <w:rPr>
                <w:rFonts w:ascii="宋体" w:hAnsi="宋体"/>
                <w:kern w:val="0"/>
                <w:szCs w:val="21"/>
                <w:highlight w:val="none"/>
              </w:rPr>
              <w:t xml:space="preserve">其中： </w:t>
            </w:r>
            <w:r>
              <w:rPr>
                <w:rFonts w:hint="eastAsia" w:ascii="宋体" w:hAnsi="宋体"/>
                <w:kern w:val="0"/>
                <w:szCs w:val="21"/>
                <w:highlight w:val="none"/>
              </w:rPr>
              <w:t xml:space="preserve">  </w:t>
            </w:r>
            <w:r>
              <w:rPr>
                <w:rFonts w:ascii="宋体" w:hAnsi="宋体"/>
                <w:kern w:val="0"/>
                <w:szCs w:val="21"/>
                <w:highlight w:val="none"/>
              </w:rPr>
              <w:t xml:space="preserve">  公共财政拨款：</w:t>
            </w:r>
            <w:r>
              <w:rPr>
                <w:rFonts w:hint="eastAsia"/>
                <w:kern w:val="0"/>
                <w:szCs w:val="21"/>
                <w:highlight w:val="none"/>
                <w:lang w:val="en-US" w:eastAsia="zh-CN"/>
              </w:rPr>
              <w:t>726.19</w:t>
            </w:r>
            <w:r>
              <w:rPr>
                <w:rFonts w:hint="eastAsia"/>
                <w:kern w:val="0"/>
                <w:szCs w:val="21"/>
                <w:highlight w:val="none"/>
              </w:rPr>
              <w:t>万元</w:t>
            </w:r>
          </w:p>
        </w:tc>
        <w:tc>
          <w:tcPr>
            <w:tcW w:w="3200" w:type="dxa"/>
            <w:gridSpan w:val="2"/>
            <w:vAlign w:val="center"/>
          </w:tcPr>
          <w:p>
            <w:pPr>
              <w:widowControl/>
              <w:jc w:val="left"/>
              <w:rPr>
                <w:rFonts w:ascii="宋体" w:hAnsi="宋体"/>
                <w:kern w:val="0"/>
                <w:szCs w:val="21"/>
                <w:highlight w:val="none"/>
              </w:rPr>
            </w:pPr>
            <w:r>
              <w:rPr>
                <w:rFonts w:ascii="宋体" w:hAnsi="宋体"/>
                <w:kern w:val="0"/>
                <w:szCs w:val="21"/>
                <w:highlight w:val="none"/>
              </w:rPr>
              <w:t>其中： 基本支出：</w:t>
            </w:r>
            <w:r>
              <w:rPr>
                <w:rFonts w:hint="eastAsia"/>
                <w:kern w:val="0"/>
                <w:szCs w:val="21"/>
                <w:highlight w:val="none"/>
                <w:lang w:val="en-US" w:eastAsia="zh-CN"/>
              </w:rPr>
              <w:t>726.19</w:t>
            </w:r>
            <w:r>
              <w:rPr>
                <w:rFonts w:hint="eastAsia"/>
                <w:kern w:val="0"/>
                <w:szCs w:val="21"/>
                <w:highlight w:val="none"/>
              </w:rPr>
              <w:t xml:space="preserve">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283" w:type="dxa"/>
            <w:vMerge w:val="continue"/>
            <w:vAlign w:val="center"/>
          </w:tcPr>
          <w:p>
            <w:pPr>
              <w:widowControl/>
              <w:jc w:val="left"/>
              <w:rPr>
                <w:rFonts w:eastAsia="黑体"/>
                <w:kern w:val="0"/>
                <w:szCs w:val="21"/>
                <w:highlight w:val="none"/>
              </w:rPr>
            </w:pPr>
          </w:p>
        </w:tc>
        <w:tc>
          <w:tcPr>
            <w:tcW w:w="5157" w:type="dxa"/>
            <w:gridSpan w:val="5"/>
            <w:vAlign w:val="center"/>
          </w:tcPr>
          <w:p>
            <w:pPr>
              <w:widowControl/>
              <w:jc w:val="left"/>
              <w:rPr>
                <w:rFonts w:ascii="宋体" w:hAnsi="宋体"/>
                <w:kern w:val="0"/>
                <w:szCs w:val="21"/>
                <w:highlight w:val="none"/>
              </w:rPr>
            </w:pPr>
            <w:r>
              <w:rPr>
                <w:rFonts w:ascii="宋体" w:hAnsi="宋体"/>
                <w:kern w:val="0"/>
                <w:szCs w:val="21"/>
                <w:highlight w:val="none"/>
              </w:rPr>
              <w:t xml:space="preserve">         </w:t>
            </w:r>
            <w:r>
              <w:rPr>
                <w:rFonts w:hint="eastAsia" w:ascii="宋体" w:hAnsi="宋体"/>
                <w:kern w:val="0"/>
                <w:szCs w:val="21"/>
                <w:highlight w:val="none"/>
              </w:rPr>
              <w:t xml:space="preserve"> </w:t>
            </w:r>
            <w:r>
              <w:rPr>
                <w:rFonts w:ascii="宋体" w:hAnsi="宋体"/>
                <w:kern w:val="0"/>
                <w:szCs w:val="21"/>
                <w:highlight w:val="none"/>
              </w:rPr>
              <w:t>政府性基金拨款：</w:t>
            </w:r>
          </w:p>
        </w:tc>
        <w:tc>
          <w:tcPr>
            <w:tcW w:w="3200" w:type="dxa"/>
            <w:gridSpan w:val="2"/>
            <w:vAlign w:val="center"/>
          </w:tcPr>
          <w:p>
            <w:pPr>
              <w:widowControl/>
              <w:jc w:val="left"/>
              <w:rPr>
                <w:rFonts w:ascii="宋体" w:hAnsi="宋体"/>
                <w:kern w:val="0"/>
                <w:szCs w:val="21"/>
                <w:highlight w:val="none"/>
              </w:rPr>
            </w:pPr>
            <w:r>
              <w:rPr>
                <w:rFonts w:ascii="宋体" w:hAnsi="宋体"/>
                <w:kern w:val="0"/>
                <w:szCs w:val="21"/>
                <w:highlight w:val="none"/>
              </w:rPr>
              <w:t xml:space="preserve">       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283" w:type="dxa"/>
            <w:vMerge w:val="continue"/>
            <w:vAlign w:val="center"/>
          </w:tcPr>
          <w:p>
            <w:pPr>
              <w:widowControl/>
              <w:jc w:val="left"/>
              <w:rPr>
                <w:rFonts w:eastAsia="黑体"/>
                <w:kern w:val="0"/>
                <w:szCs w:val="21"/>
                <w:highlight w:val="none"/>
              </w:rPr>
            </w:pPr>
          </w:p>
        </w:tc>
        <w:tc>
          <w:tcPr>
            <w:tcW w:w="5157" w:type="dxa"/>
            <w:gridSpan w:val="5"/>
            <w:vAlign w:val="center"/>
          </w:tcPr>
          <w:p>
            <w:pPr>
              <w:widowControl/>
              <w:jc w:val="left"/>
              <w:rPr>
                <w:rFonts w:ascii="宋体" w:hAnsi="宋体"/>
                <w:kern w:val="0"/>
                <w:szCs w:val="21"/>
                <w:highlight w:val="none"/>
              </w:rPr>
            </w:pPr>
            <w:r>
              <w:rPr>
                <w:rFonts w:ascii="宋体" w:hAnsi="宋体"/>
                <w:kern w:val="0"/>
                <w:szCs w:val="21"/>
                <w:highlight w:val="none"/>
              </w:rPr>
              <w:t>纳入专户管理的非税收入拨款：</w:t>
            </w:r>
          </w:p>
        </w:tc>
        <w:tc>
          <w:tcPr>
            <w:tcW w:w="3200" w:type="dxa"/>
            <w:gridSpan w:val="2"/>
            <w:vAlign w:val="center"/>
          </w:tcPr>
          <w:p>
            <w:pPr>
              <w:widowControl/>
              <w:jc w:val="left"/>
              <w:rPr>
                <w:rFonts w:ascii="宋体" w:hAnsi="宋体"/>
                <w:kern w:val="0"/>
                <w:szCs w:val="21"/>
                <w:highlight w:val="none"/>
              </w:rPr>
            </w:pPr>
            <w:r>
              <w:rPr>
                <w:rFonts w:ascii="宋体" w:hAnsi="宋体"/>
                <w:kern w:val="0"/>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283" w:type="dxa"/>
            <w:vMerge w:val="continue"/>
            <w:vAlign w:val="center"/>
          </w:tcPr>
          <w:p>
            <w:pPr>
              <w:widowControl/>
              <w:jc w:val="left"/>
              <w:rPr>
                <w:rFonts w:eastAsia="黑体"/>
                <w:kern w:val="0"/>
                <w:szCs w:val="21"/>
                <w:highlight w:val="none"/>
              </w:rPr>
            </w:pPr>
          </w:p>
        </w:tc>
        <w:tc>
          <w:tcPr>
            <w:tcW w:w="5157" w:type="dxa"/>
            <w:gridSpan w:val="5"/>
            <w:vAlign w:val="center"/>
          </w:tcPr>
          <w:p>
            <w:pPr>
              <w:widowControl/>
              <w:jc w:val="left"/>
              <w:rPr>
                <w:rFonts w:ascii="宋体" w:hAnsi="宋体"/>
                <w:kern w:val="0"/>
                <w:szCs w:val="21"/>
                <w:highlight w:val="none"/>
              </w:rPr>
            </w:pPr>
            <w:r>
              <w:rPr>
                <w:rFonts w:ascii="宋体" w:hAnsi="宋体"/>
                <w:kern w:val="0"/>
                <w:szCs w:val="21"/>
                <w:highlight w:val="none"/>
              </w:rPr>
              <w:t xml:space="preserve">                  其他资金：</w:t>
            </w:r>
          </w:p>
        </w:tc>
        <w:tc>
          <w:tcPr>
            <w:tcW w:w="3200" w:type="dxa"/>
            <w:gridSpan w:val="2"/>
            <w:vAlign w:val="center"/>
          </w:tcPr>
          <w:p>
            <w:pPr>
              <w:widowControl/>
              <w:jc w:val="left"/>
              <w:rPr>
                <w:rFonts w:ascii="宋体" w:hAnsi="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1283" w:type="dxa"/>
            <w:vAlign w:val="center"/>
          </w:tcPr>
          <w:p>
            <w:pPr>
              <w:widowControl/>
              <w:jc w:val="center"/>
              <w:rPr>
                <w:rFonts w:ascii="宋体" w:hAnsi="宋体"/>
                <w:kern w:val="0"/>
                <w:szCs w:val="21"/>
                <w:highlight w:val="none"/>
              </w:rPr>
            </w:pPr>
            <w:r>
              <w:rPr>
                <w:rFonts w:ascii="宋体" w:hAnsi="宋体"/>
                <w:kern w:val="0"/>
                <w:szCs w:val="21"/>
                <w:highlight w:val="none"/>
              </w:rPr>
              <w:t>部门职能</w:t>
            </w:r>
            <w:r>
              <w:rPr>
                <w:rFonts w:hint="eastAsia" w:ascii="宋体" w:hAnsi="宋体"/>
                <w:kern w:val="0"/>
                <w:szCs w:val="21"/>
                <w:highlight w:val="none"/>
              </w:rPr>
              <w:t>职责</w:t>
            </w:r>
            <w:r>
              <w:rPr>
                <w:rFonts w:ascii="宋体" w:hAnsi="宋体"/>
                <w:kern w:val="0"/>
                <w:szCs w:val="21"/>
                <w:highlight w:val="none"/>
              </w:rPr>
              <w:t>概述</w:t>
            </w:r>
          </w:p>
        </w:tc>
        <w:tc>
          <w:tcPr>
            <w:tcW w:w="8357" w:type="dxa"/>
            <w:gridSpan w:val="7"/>
            <w:vAlign w:val="center"/>
          </w:tcPr>
          <w:p>
            <w:pPr>
              <w:keepNext w:val="0"/>
              <w:keepLines w:val="0"/>
              <w:pageBreakBefore w:val="0"/>
              <w:widowControl/>
              <w:kinsoku/>
              <w:wordWrap/>
              <w:overflowPunct/>
              <w:topLinePunct w:val="0"/>
              <w:autoSpaceDE/>
              <w:autoSpaceDN/>
              <w:bidi w:val="0"/>
              <w:adjustRightInd/>
              <w:snapToGrid/>
              <w:spacing w:line="520" w:lineRule="exact"/>
              <w:ind w:firstLine="420" w:firstLineChars="200"/>
              <w:jc w:val="left"/>
              <w:textAlignment w:val="auto"/>
              <w:rPr>
                <w:rFonts w:hint="eastAsia" w:ascii="宋体" w:hAnsi="宋体"/>
                <w:kern w:val="0"/>
                <w:szCs w:val="21"/>
                <w:highlight w:val="none"/>
              </w:rPr>
            </w:pPr>
            <w:r>
              <w:rPr>
                <w:rFonts w:hint="eastAsia" w:ascii="宋体" w:hAnsi="宋体"/>
                <w:kern w:val="0"/>
                <w:szCs w:val="21"/>
                <w:highlight w:val="none"/>
              </w:rPr>
              <w:t>1、年初</w:t>
            </w:r>
            <w:r>
              <w:rPr>
                <w:rFonts w:hint="eastAsia" w:ascii="宋体" w:hAnsi="宋体"/>
                <w:kern w:val="0"/>
                <w:szCs w:val="21"/>
                <w:highlight w:val="none"/>
                <w:lang w:eastAsia="zh-CN"/>
              </w:rPr>
              <w:t>乡</w:t>
            </w:r>
            <w:r>
              <w:rPr>
                <w:rFonts w:hint="eastAsia" w:ascii="宋体" w:hAnsi="宋体"/>
                <w:kern w:val="0"/>
                <w:szCs w:val="21"/>
                <w:highlight w:val="none"/>
              </w:rPr>
              <w:t>党委政府召开专题会议研究制定和组织实施经济、科技和社会发展计划，制定资源开发技术改造和产业结构调整方案，组织指导好各业生产，搞好商品流通，协调好本乡与外地区的经济交流与合作，抓好招商引资、人才引进项目开发，不断培育市场体系、组织经济运行，促进经济发展。</w:t>
            </w:r>
          </w:p>
          <w:p>
            <w:pPr>
              <w:keepNext w:val="0"/>
              <w:keepLines w:val="0"/>
              <w:pageBreakBefore w:val="0"/>
              <w:widowControl/>
              <w:kinsoku/>
              <w:wordWrap/>
              <w:overflowPunct/>
              <w:topLinePunct w:val="0"/>
              <w:autoSpaceDE/>
              <w:autoSpaceDN/>
              <w:bidi w:val="0"/>
              <w:adjustRightInd/>
              <w:snapToGrid/>
              <w:spacing w:line="520" w:lineRule="exact"/>
              <w:ind w:firstLine="420" w:firstLineChars="200"/>
              <w:jc w:val="left"/>
              <w:textAlignment w:val="auto"/>
              <w:rPr>
                <w:rFonts w:hint="eastAsia" w:ascii="宋体" w:hAnsi="宋体"/>
                <w:kern w:val="0"/>
                <w:szCs w:val="21"/>
                <w:highlight w:val="none"/>
              </w:rPr>
            </w:pPr>
            <w:r>
              <w:rPr>
                <w:rFonts w:hint="eastAsia" w:ascii="宋体" w:hAnsi="宋体"/>
                <w:kern w:val="0"/>
                <w:szCs w:val="21"/>
                <w:highlight w:val="none"/>
              </w:rPr>
              <w:t>2、制定并组织实施村</w:t>
            </w:r>
            <w:r>
              <w:rPr>
                <w:rFonts w:hint="eastAsia" w:ascii="宋体" w:hAnsi="宋体"/>
                <w:kern w:val="0"/>
                <w:szCs w:val="21"/>
                <w:highlight w:val="none"/>
                <w:lang w:eastAsia="zh-CN"/>
              </w:rPr>
              <w:t>乡</w:t>
            </w:r>
            <w:r>
              <w:rPr>
                <w:rFonts w:hint="eastAsia" w:ascii="宋体" w:hAnsi="宋体"/>
                <w:kern w:val="0"/>
                <w:szCs w:val="21"/>
                <w:highlight w:val="none"/>
              </w:rPr>
              <w:t>建设规划，部署重点工程建设、地方道路建设及公共设施，水利设施的管理，负责土地、林木、水等自然资源和生态环境的保护，做好护林防火工作。</w:t>
            </w:r>
          </w:p>
          <w:p>
            <w:pPr>
              <w:keepNext w:val="0"/>
              <w:keepLines w:val="0"/>
              <w:pageBreakBefore w:val="0"/>
              <w:widowControl/>
              <w:kinsoku/>
              <w:wordWrap/>
              <w:overflowPunct/>
              <w:topLinePunct w:val="0"/>
              <w:autoSpaceDE/>
              <w:autoSpaceDN/>
              <w:bidi w:val="0"/>
              <w:adjustRightInd/>
              <w:snapToGrid/>
              <w:spacing w:line="520" w:lineRule="exact"/>
              <w:ind w:firstLine="420" w:firstLineChars="200"/>
              <w:jc w:val="left"/>
              <w:textAlignment w:val="auto"/>
              <w:rPr>
                <w:rFonts w:hint="eastAsia" w:ascii="宋体" w:hAnsi="宋体"/>
                <w:kern w:val="0"/>
                <w:szCs w:val="21"/>
                <w:highlight w:val="none"/>
              </w:rPr>
            </w:pPr>
            <w:r>
              <w:rPr>
                <w:rFonts w:hint="eastAsia" w:ascii="宋体" w:hAnsi="宋体"/>
                <w:kern w:val="0"/>
                <w:szCs w:val="21"/>
                <w:highlight w:val="none"/>
              </w:rPr>
              <w:t>3、负责本行政区域内的民政、计划生育、文化教育、卫生、体育等社会公益事业的综合性工作，维护一切经济单位和个人的正当经济权益，取缔非法经济活动，调解和处理民事纠纷，打击刑事犯罪维护社会稳定。</w:t>
            </w:r>
          </w:p>
          <w:p>
            <w:pPr>
              <w:keepNext w:val="0"/>
              <w:keepLines w:val="0"/>
              <w:pageBreakBefore w:val="0"/>
              <w:widowControl/>
              <w:kinsoku/>
              <w:wordWrap/>
              <w:overflowPunct/>
              <w:topLinePunct w:val="0"/>
              <w:autoSpaceDE/>
              <w:autoSpaceDN/>
              <w:bidi w:val="0"/>
              <w:adjustRightInd/>
              <w:snapToGrid/>
              <w:spacing w:line="520" w:lineRule="exact"/>
              <w:ind w:firstLine="420" w:firstLineChars="200"/>
              <w:jc w:val="left"/>
              <w:textAlignment w:val="auto"/>
              <w:rPr>
                <w:rFonts w:hint="eastAsia" w:ascii="宋体" w:hAnsi="宋体"/>
                <w:kern w:val="0"/>
                <w:szCs w:val="21"/>
                <w:highlight w:val="none"/>
              </w:rPr>
            </w:pPr>
            <w:r>
              <w:rPr>
                <w:rFonts w:hint="eastAsia" w:ascii="宋体" w:hAnsi="宋体"/>
                <w:kern w:val="0"/>
                <w:szCs w:val="21"/>
                <w:highlight w:val="none"/>
              </w:rPr>
              <w:t>4、按计划组织本级财政收入和地方税的征收，完成国家财政计划，不断培植税源，管好财政资金，增强财政实力。</w:t>
            </w:r>
          </w:p>
          <w:p>
            <w:pPr>
              <w:keepNext w:val="0"/>
              <w:keepLines w:val="0"/>
              <w:pageBreakBefore w:val="0"/>
              <w:widowControl/>
              <w:kinsoku/>
              <w:wordWrap/>
              <w:overflowPunct/>
              <w:topLinePunct w:val="0"/>
              <w:autoSpaceDE/>
              <w:autoSpaceDN/>
              <w:bidi w:val="0"/>
              <w:adjustRightInd/>
              <w:snapToGrid/>
              <w:spacing w:line="520" w:lineRule="exact"/>
              <w:ind w:firstLine="420" w:firstLineChars="200"/>
              <w:jc w:val="left"/>
              <w:textAlignment w:val="auto"/>
              <w:rPr>
                <w:rFonts w:hint="eastAsia" w:ascii="宋体" w:hAnsi="宋体"/>
                <w:kern w:val="0"/>
                <w:szCs w:val="21"/>
                <w:highlight w:val="none"/>
              </w:rPr>
            </w:pPr>
            <w:r>
              <w:rPr>
                <w:rFonts w:hint="eastAsia" w:ascii="宋体" w:hAnsi="宋体"/>
                <w:kern w:val="0"/>
                <w:szCs w:val="21"/>
                <w:highlight w:val="none"/>
              </w:rPr>
              <w:t>5、抓好精神文明建设，丰富群众文化生活，提倡移风易俗，反对封建迷信，破除陈规陋习，树立社会主义新风尚。</w:t>
            </w:r>
          </w:p>
          <w:p>
            <w:pPr>
              <w:keepNext w:val="0"/>
              <w:keepLines w:val="0"/>
              <w:pageBreakBefore w:val="0"/>
              <w:widowControl/>
              <w:kinsoku/>
              <w:wordWrap/>
              <w:overflowPunct/>
              <w:topLinePunct w:val="0"/>
              <w:autoSpaceDE/>
              <w:autoSpaceDN/>
              <w:bidi w:val="0"/>
              <w:adjustRightInd/>
              <w:snapToGrid/>
              <w:spacing w:line="520" w:lineRule="exact"/>
              <w:ind w:firstLine="420" w:firstLineChars="200"/>
              <w:jc w:val="left"/>
              <w:textAlignment w:val="auto"/>
              <w:rPr>
                <w:rFonts w:hint="eastAsia" w:ascii="宋体" w:hAnsi="宋体"/>
                <w:kern w:val="0"/>
                <w:szCs w:val="21"/>
                <w:highlight w:val="none"/>
              </w:rPr>
            </w:pPr>
            <w:r>
              <w:rPr>
                <w:rFonts w:hint="eastAsia" w:ascii="宋体" w:hAnsi="宋体"/>
                <w:kern w:val="0"/>
                <w:szCs w:val="21"/>
                <w:highlight w:val="none"/>
              </w:rPr>
              <w:t>6、执行本级人民代表大会的决议和上级国家行政机关的决定和命令，发布决定和命令。</w:t>
            </w:r>
          </w:p>
          <w:p>
            <w:pPr>
              <w:keepNext w:val="0"/>
              <w:keepLines w:val="0"/>
              <w:pageBreakBefore w:val="0"/>
              <w:widowControl/>
              <w:kinsoku/>
              <w:wordWrap/>
              <w:overflowPunct/>
              <w:topLinePunct w:val="0"/>
              <w:autoSpaceDE/>
              <w:autoSpaceDN/>
              <w:bidi w:val="0"/>
              <w:adjustRightInd/>
              <w:snapToGrid/>
              <w:spacing w:line="520" w:lineRule="exact"/>
              <w:ind w:firstLine="420" w:firstLineChars="200"/>
              <w:jc w:val="left"/>
              <w:textAlignment w:val="auto"/>
              <w:rPr>
                <w:rFonts w:hint="eastAsia" w:ascii="宋体" w:hAnsi="宋体"/>
                <w:kern w:val="0"/>
                <w:szCs w:val="21"/>
                <w:highlight w:val="none"/>
              </w:rPr>
            </w:pPr>
            <w:r>
              <w:rPr>
                <w:rFonts w:hint="eastAsia" w:ascii="宋体" w:hAnsi="宋体"/>
                <w:kern w:val="0"/>
                <w:szCs w:val="21"/>
                <w:highlight w:val="none"/>
              </w:rPr>
              <w:t>7、执行本行政区域内的经济和社会发展计划、预算管理本行政区域内的经济、教育、科学、文化、卫生、体育事业和财政、民政、公安、司法行政、计划生育等行政工作。</w:t>
            </w:r>
          </w:p>
          <w:p>
            <w:pPr>
              <w:keepNext w:val="0"/>
              <w:keepLines w:val="0"/>
              <w:pageBreakBefore w:val="0"/>
              <w:widowControl/>
              <w:kinsoku/>
              <w:wordWrap/>
              <w:overflowPunct/>
              <w:topLinePunct w:val="0"/>
              <w:autoSpaceDE/>
              <w:autoSpaceDN/>
              <w:bidi w:val="0"/>
              <w:adjustRightInd/>
              <w:snapToGrid/>
              <w:spacing w:line="520" w:lineRule="exact"/>
              <w:ind w:firstLine="420" w:firstLineChars="200"/>
              <w:jc w:val="left"/>
              <w:textAlignment w:val="auto"/>
              <w:rPr>
                <w:rFonts w:hint="eastAsia" w:ascii="宋体" w:hAnsi="宋体"/>
                <w:kern w:val="0"/>
                <w:szCs w:val="21"/>
                <w:highlight w:val="none"/>
              </w:rPr>
            </w:pPr>
            <w:r>
              <w:rPr>
                <w:rFonts w:hint="eastAsia" w:ascii="宋体" w:hAnsi="宋体"/>
                <w:kern w:val="0"/>
                <w:szCs w:val="21"/>
                <w:highlight w:val="none"/>
              </w:rPr>
              <w:t>8、保护社会主义的全民所有的财产和劳动群众集体所有财产，保护公民私有的合法财产、维护社会秩序、保障公民的人身权利、民主权利和其他权利。</w:t>
            </w:r>
          </w:p>
          <w:p>
            <w:pPr>
              <w:keepNext w:val="0"/>
              <w:keepLines w:val="0"/>
              <w:pageBreakBefore w:val="0"/>
              <w:widowControl/>
              <w:kinsoku/>
              <w:wordWrap/>
              <w:overflowPunct/>
              <w:topLinePunct w:val="0"/>
              <w:autoSpaceDE/>
              <w:autoSpaceDN/>
              <w:bidi w:val="0"/>
              <w:adjustRightInd/>
              <w:snapToGrid/>
              <w:spacing w:line="520" w:lineRule="exact"/>
              <w:ind w:firstLine="420" w:firstLineChars="200"/>
              <w:jc w:val="left"/>
              <w:textAlignment w:val="auto"/>
              <w:rPr>
                <w:rFonts w:hint="eastAsia" w:ascii="宋体" w:hAnsi="宋体"/>
                <w:kern w:val="0"/>
                <w:szCs w:val="21"/>
                <w:highlight w:val="none"/>
              </w:rPr>
            </w:pPr>
            <w:r>
              <w:rPr>
                <w:rFonts w:hint="eastAsia" w:ascii="宋体" w:hAnsi="宋体"/>
                <w:kern w:val="0"/>
                <w:szCs w:val="21"/>
                <w:highlight w:val="none"/>
              </w:rPr>
              <w:t>9、保障农村集体经济组织应有的自主权。</w:t>
            </w:r>
          </w:p>
          <w:p>
            <w:pPr>
              <w:keepNext w:val="0"/>
              <w:keepLines w:val="0"/>
              <w:pageBreakBefore w:val="0"/>
              <w:widowControl/>
              <w:kinsoku/>
              <w:wordWrap/>
              <w:overflowPunct/>
              <w:topLinePunct w:val="0"/>
              <w:autoSpaceDE/>
              <w:autoSpaceDN/>
              <w:bidi w:val="0"/>
              <w:adjustRightInd/>
              <w:snapToGrid/>
              <w:spacing w:line="520" w:lineRule="exact"/>
              <w:ind w:firstLine="420" w:firstLineChars="200"/>
              <w:jc w:val="left"/>
              <w:textAlignment w:val="auto"/>
              <w:rPr>
                <w:rFonts w:hint="eastAsia" w:ascii="宋体" w:hAnsi="宋体"/>
                <w:kern w:val="0"/>
                <w:szCs w:val="21"/>
                <w:highlight w:val="none"/>
              </w:rPr>
            </w:pPr>
            <w:r>
              <w:rPr>
                <w:rFonts w:hint="eastAsia" w:ascii="宋体" w:hAnsi="宋体"/>
                <w:kern w:val="0"/>
                <w:szCs w:val="21"/>
                <w:highlight w:val="none"/>
              </w:rPr>
              <w:t>10、保障少数民族的权利和尊重少数民族的风俗习惯。</w:t>
            </w:r>
          </w:p>
          <w:p>
            <w:pPr>
              <w:keepNext w:val="0"/>
              <w:keepLines w:val="0"/>
              <w:pageBreakBefore w:val="0"/>
              <w:widowControl/>
              <w:kinsoku/>
              <w:wordWrap/>
              <w:overflowPunct/>
              <w:topLinePunct w:val="0"/>
              <w:autoSpaceDE/>
              <w:autoSpaceDN/>
              <w:bidi w:val="0"/>
              <w:adjustRightInd/>
              <w:snapToGrid/>
              <w:spacing w:line="520" w:lineRule="exact"/>
              <w:ind w:firstLine="420" w:firstLineChars="200"/>
              <w:jc w:val="left"/>
              <w:textAlignment w:val="auto"/>
              <w:rPr>
                <w:rFonts w:hint="eastAsia" w:ascii="宋体" w:hAnsi="宋体"/>
                <w:kern w:val="0"/>
                <w:szCs w:val="21"/>
                <w:highlight w:val="none"/>
              </w:rPr>
            </w:pPr>
            <w:r>
              <w:rPr>
                <w:rFonts w:hint="eastAsia" w:ascii="宋体" w:hAnsi="宋体"/>
                <w:kern w:val="0"/>
                <w:szCs w:val="21"/>
                <w:highlight w:val="none"/>
              </w:rPr>
              <w:t>11、保障宪法和法律赋予妇女的男女平等、同工同酬和婚姻自由等各项权利。</w:t>
            </w:r>
          </w:p>
          <w:p>
            <w:pPr>
              <w:keepNext w:val="0"/>
              <w:keepLines w:val="0"/>
              <w:pageBreakBefore w:val="0"/>
              <w:widowControl/>
              <w:kinsoku/>
              <w:wordWrap/>
              <w:overflowPunct/>
              <w:topLinePunct w:val="0"/>
              <w:autoSpaceDE/>
              <w:autoSpaceDN/>
              <w:bidi w:val="0"/>
              <w:adjustRightInd/>
              <w:snapToGrid/>
              <w:spacing w:line="520" w:lineRule="exact"/>
              <w:ind w:firstLine="420" w:firstLineChars="200"/>
              <w:jc w:val="left"/>
              <w:textAlignment w:val="auto"/>
              <w:rPr>
                <w:rFonts w:hint="eastAsia" w:ascii="宋体" w:hAnsi="宋体"/>
                <w:kern w:val="0"/>
                <w:szCs w:val="21"/>
                <w:highlight w:val="none"/>
              </w:rPr>
            </w:pPr>
            <w:r>
              <w:rPr>
                <w:rFonts w:hint="eastAsia" w:ascii="宋体" w:hAnsi="宋体"/>
                <w:kern w:val="0"/>
                <w:szCs w:val="21"/>
                <w:highlight w:val="none"/>
              </w:rPr>
              <w:t>12、办理上级人民政府交办的其它事项。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283" w:type="dxa"/>
            <w:vMerge w:val="restart"/>
            <w:vAlign w:val="center"/>
          </w:tcPr>
          <w:p>
            <w:pPr>
              <w:widowControl/>
              <w:jc w:val="center"/>
              <w:rPr>
                <w:rFonts w:ascii="宋体" w:hAnsi="宋体"/>
                <w:kern w:val="0"/>
                <w:szCs w:val="21"/>
                <w:highlight w:val="none"/>
              </w:rPr>
            </w:pPr>
            <w:r>
              <w:rPr>
                <w:rFonts w:ascii="宋体" w:hAnsi="宋体"/>
                <w:kern w:val="0"/>
                <w:szCs w:val="21"/>
                <w:highlight w:val="none"/>
              </w:rPr>
              <w:t>部门整体支出年度绩效指标</w:t>
            </w:r>
          </w:p>
        </w:tc>
        <w:tc>
          <w:tcPr>
            <w:tcW w:w="1860" w:type="dxa"/>
            <w:gridSpan w:val="2"/>
            <w:vMerge w:val="restart"/>
            <w:vAlign w:val="center"/>
          </w:tcPr>
          <w:p>
            <w:pPr>
              <w:widowControl/>
              <w:jc w:val="left"/>
              <w:rPr>
                <w:kern w:val="0"/>
                <w:szCs w:val="21"/>
                <w:highlight w:val="none"/>
              </w:rPr>
            </w:pPr>
            <w:r>
              <w:rPr>
                <w:rFonts w:hint="eastAsia"/>
                <w:kern w:val="0"/>
                <w:szCs w:val="21"/>
                <w:highlight w:val="none"/>
              </w:rPr>
              <w:t>绩效目标内容1：</w:t>
            </w:r>
          </w:p>
          <w:p>
            <w:pPr>
              <w:widowControl/>
              <w:jc w:val="left"/>
              <w:rPr>
                <w:kern w:val="0"/>
                <w:szCs w:val="21"/>
                <w:highlight w:val="none"/>
              </w:rPr>
            </w:pPr>
            <w:r>
              <w:rPr>
                <w:rFonts w:hint="eastAsia"/>
                <w:highlight w:val="none"/>
              </w:rPr>
              <w:t>乡</w:t>
            </w:r>
            <w:r>
              <w:rPr>
                <w:highlight w:val="none"/>
              </w:rPr>
              <w:t>经济发展</w:t>
            </w:r>
          </w:p>
        </w:tc>
        <w:tc>
          <w:tcPr>
            <w:tcW w:w="6497" w:type="dxa"/>
            <w:gridSpan w:val="5"/>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kern w:val="0"/>
                <w:szCs w:val="21"/>
                <w:highlight w:val="none"/>
              </w:rPr>
            </w:pPr>
            <w:r>
              <w:rPr>
                <w:kern w:val="0"/>
                <w:szCs w:val="21"/>
                <w:highlight w:val="none"/>
              </w:rPr>
              <w:t>产出指标</w:t>
            </w:r>
            <w:r>
              <w:rPr>
                <w:rFonts w:hint="eastAsia"/>
                <w:kern w:val="0"/>
                <w:szCs w:val="21"/>
                <w:highlight w:val="none"/>
              </w:rPr>
              <w:t>（数量、质量、成本、时间、其他）：</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highlight w:val="none"/>
              </w:rPr>
            </w:pPr>
            <w:r>
              <w:rPr>
                <w:rFonts w:hint="eastAsia"/>
                <w:kern w:val="0"/>
                <w:szCs w:val="21"/>
                <w:highlight w:val="none"/>
              </w:rPr>
              <w:t xml:space="preserve">    1、</w:t>
            </w:r>
            <w:r>
              <w:rPr>
                <w:highlight w:val="none"/>
              </w:rPr>
              <w:t>经济发展及小康建设统计工作。</w:t>
            </w:r>
            <w:r>
              <w:rPr>
                <w:rFonts w:hint="eastAsia" w:asciiTheme="minorEastAsia" w:hAnsiTheme="minorEastAsia" w:eastAsiaTheme="minorEastAsia" w:cstheme="minorEastAsia"/>
                <w:sz w:val="21"/>
                <w:szCs w:val="21"/>
                <w:highlight w:val="none"/>
              </w:rPr>
              <w:t>GDP 增长8%左右，财政总收入增长8%左右，城乡居民收入增长10%左右，贫困人口全部脱贫，金融财政风险有效防控，争创生态文明示范乡</w:t>
            </w:r>
            <w:r>
              <w:rPr>
                <w:rFonts w:hint="eastAsia" w:asciiTheme="minorEastAsia" w:hAnsiTheme="minorEastAsia" w:cstheme="minorEastAsia"/>
                <w:sz w:val="21"/>
                <w:szCs w:val="21"/>
                <w:highlight w:val="none"/>
                <w:lang w:eastAsia="zh-CN"/>
              </w:rPr>
              <w:t>。</w:t>
            </w:r>
            <w:r>
              <w:rPr>
                <w:highlight w:val="none"/>
              </w:rPr>
              <w:t>按照县小康办文件和要求，</w:t>
            </w:r>
            <w:r>
              <w:rPr>
                <w:rFonts w:hint="eastAsia"/>
                <w:highlight w:val="none"/>
              </w:rPr>
              <w:t>将</w:t>
            </w:r>
            <w:r>
              <w:rPr>
                <w:highlight w:val="none"/>
              </w:rPr>
              <w:t>全面建成小康社会推进工作任务责任分解到主要负责领导；按步实施了全面建成小康社会201</w:t>
            </w:r>
            <w:r>
              <w:rPr>
                <w:rFonts w:hint="eastAsia"/>
                <w:highlight w:val="none"/>
              </w:rPr>
              <w:t>6</w:t>
            </w:r>
            <w:r>
              <w:rPr>
                <w:highlight w:val="none"/>
              </w:rPr>
              <w:t>-20</w:t>
            </w:r>
            <w:r>
              <w:rPr>
                <w:rFonts w:hint="eastAsia"/>
                <w:highlight w:val="none"/>
              </w:rPr>
              <w:t>20</w:t>
            </w:r>
            <w:r>
              <w:rPr>
                <w:highlight w:val="none"/>
              </w:rPr>
              <w:t>年</w:t>
            </w:r>
            <w:r>
              <w:rPr>
                <w:rFonts w:hint="eastAsia"/>
                <w:highlight w:val="none"/>
              </w:rPr>
              <w:t>五</w:t>
            </w:r>
            <w:r>
              <w:rPr>
                <w:highlight w:val="none"/>
              </w:rPr>
              <w:t>年</w:t>
            </w:r>
            <w:r>
              <w:rPr>
                <w:rFonts w:hint="eastAsia"/>
                <w:highlight w:val="none"/>
              </w:rPr>
              <w:t>规划</w:t>
            </w:r>
            <w:r>
              <w:rPr>
                <w:highlight w:val="none"/>
              </w:rPr>
              <w:t>划</w:t>
            </w:r>
            <w:r>
              <w:rPr>
                <w:rFonts w:hint="eastAsia"/>
                <w:highlight w:val="none"/>
              </w:rPr>
              <w:t>。</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仿宋" w:hAnsi="仿宋" w:eastAsia="仿宋" w:cs="仿宋"/>
                <w:b w:val="0"/>
                <w:bCs w:val="0"/>
                <w:color w:val="auto"/>
                <w:sz w:val="32"/>
                <w:szCs w:val="32"/>
                <w:highlight w:val="none"/>
                <w:lang w:eastAsia="zh-CN"/>
              </w:rPr>
            </w:pPr>
            <w:r>
              <w:rPr>
                <w:rFonts w:hint="eastAsia" w:asciiTheme="minorEastAsia" w:hAnsiTheme="minorEastAsia" w:eastAsiaTheme="minorEastAsia" w:cstheme="minorEastAsia"/>
                <w:sz w:val="21"/>
                <w:szCs w:val="21"/>
                <w:highlight w:val="none"/>
                <w:lang w:val="en-US" w:eastAsia="zh-CN"/>
              </w:rPr>
              <w:t>2</w:t>
            </w:r>
            <w:r>
              <w:rPr>
                <w:rFonts w:hint="eastAsia" w:asciiTheme="minorEastAsia" w:hAnsiTheme="minorEastAsia" w:eastAsiaTheme="minorEastAsia" w:cstheme="minorEastAsia"/>
                <w:sz w:val="21"/>
                <w:szCs w:val="21"/>
                <w:highlight w:val="none"/>
              </w:rPr>
              <w:t>、产业发展有特色。</w:t>
            </w:r>
            <w:r>
              <w:rPr>
                <w:rFonts w:hint="eastAsia" w:asciiTheme="minorEastAsia" w:hAnsiTheme="minorEastAsia" w:eastAsiaTheme="minorEastAsia" w:cstheme="minorEastAsia"/>
                <w:b w:val="0"/>
                <w:bCs w:val="0"/>
                <w:color w:val="auto"/>
                <w:sz w:val="21"/>
                <w:szCs w:val="21"/>
                <w:highlight w:val="none"/>
                <w:lang w:eastAsia="zh-CN"/>
              </w:rPr>
              <w:t>一是继续做大做强特色产业，努力打造具有我乡特色的</w:t>
            </w:r>
            <w:r>
              <w:rPr>
                <w:rFonts w:hint="eastAsia" w:asciiTheme="minorEastAsia" w:hAnsiTheme="minorEastAsia" w:eastAsiaTheme="minorEastAsia" w:cstheme="minorEastAsia"/>
                <w:b w:val="0"/>
                <w:bCs w:val="0"/>
                <w:color w:val="auto"/>
                <w:sz w:val="21"/>
                <w:szCs w:val="21"/>
                <w:highlight w:val="none"/>
                <w:lang w:val="en-US" w:eastAsia="zh-CN"/>
              </w:rPr>
              <w:t>东山红提、东山花猪、东山猕猴桃、东山油茶、东山香菇以及石蛙、黑山羊等特色种养业。</w:t>
            </w:r>
            <w:r>
              <w:rPr>
                <w:rFonts w:hint="eastAsia" w:asciiTheme="minorEastAsia" w:hAnsiTheme="minorEastAsia" w:eastAsiaTheme="minorEastAsia" w:cstheme="minorEastAsia"/>
                <w:b w:val="0"/>
                <w:bCs w:val="0"/>
                <w:color w:val="auto"/>
                <w:sz w:val="21"/>
                <w:szCs w:val="21"/>
                <w:highlight w:val="none"/>
                <w:lang w:eastAsia="zh-CN"/>
              </w:rPr>
              <w:t>二是切实做好实用技术推广工作，加大农民培训力度，让更多技术型农民脱颖而出。三是大力培育乡村致富带头人，激发农村创业创新活力，增强农民就业增收能力，提高农业质量效益竞争力，为实现乡村繁荣、农民富裕提供物质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80" w:lineRule="exact"/>
              <w:ind w:left="0" w:right="0" w:firstLine="516"/>
              <w:jc w:val="both"/>
              <w:textAlignment w:val="auto"/>
              <w:rPr>
                <w:kern w:val="0"/>
                <w:szCs w:val="21"/>
                <w:highlight w:val="none"/>
              </w:rPr>
            </w:pPr>
            <w:r>
              <w:rPr>
                <w:rFonts w:hint="eastAsia" w:asciiTheme="minorEastAsia" w:hAnsiTheme="minorEastAsia" w:eastAsiaTheme="minorEastAsia" w:cstheme="minorEastAsia"/>
                <w:sz w:val="21"/>
                <w:szCs w:val="21"/>
                <w:highlight w:val="none"/>
                <w:lang w:val="en-US" w:eastAsia="zh-CN"/>
              </w:rPr>
              <w:t>3</w:t>
            </w:r>
            <w:r>
              <w:rPr>
                <w:rFonts w:hint="eastAsia" w:asciiTheme="minorEastAsia" w:hAnsiTheme="minorEastAsia" w:eastAsiaTheme="minorEastAsia" w:cstheme="minorEastAsia"/>
                <w:sz w:val="21"/>
                <w:szCs w:val="21"/>
                <w:highlight w:val="none"/>
              </w:rPr>
              <w:t>、城</w:t>
            </w:r>
            <w:r>
              <w:rPr>
                <w:rFonts w:hint="eastAsia" w:asciiTheme="minorEastAsia" w:hAnsiTheme="minorEastAsia" w:eastAsiaTheme="minorEastAsia" w:cstheme="minorEastAsia"/>
                <w:sz w:val="21"/>
                <w:szCs w:val="21"/>
                <w:highlight w:val="none"/>
                <w:lang w:eastAsia="zh-CN"/>
              </w:rPr>
              <w:t>乡</w:t>
            </w:r>
            <w:r>
              <w:rPr>
                <w:rFonts w:hint="eastAsia" w:asciiTheme="minorEastAsia" w:hAnsiTheme="minorEastAsia" w:eastAsiaTheme="minorEastAsia" w:cstheme="minorEastAsia"/>
                <w:sz w:val="21"/>
                <w:szCs w:val="21"/>
                <w:highlight w:val="none"/>
              </w:rPr>
              <w:t>开发。</w:t>
            </w:r>
            <w:r>
              <w:rPr>
                <w:rFonts w:hint="eastAsia" w:asciiTheme="minorEastAsia" w:hAnsiTheme="minorEastAsia" w:eastAsiaTheme="minorEastAsia" w:cstheme="minorEastAsia"/>
                <w:b w:val="0"/>
                <w:bCs w:val="0"/>
                <w:sz w:val="21"/>
                <w:szCs w:val="21"/>
                <w:highlight w:val="none"/>
              </w:rPr>
              <w:t>我</w:t>
            </w:r>
            <w:r>
              <w:rPr>
                <w:rFonts w:hint="eastAsia" w:asciiTheme="minorEastAsia" w:hAnsiTheme="minorEastAsia" w:eastAsiaTheme="minorEastAsia" w:cstheme="minorEastAsia"/>
                <w:b w:val="0"/>
                <w:bCs w:val="0"/>
                <w:i w:val="0"/>
                <w:caps w:val="0"/>
                <w:color w:val="333333"/>
                <w:spacing w:val="7"/>
                <w:sz w:val="21"/>
                <w:szCs w:val="21"/>
                <w:highlight w:val="none"/>
                <w:shd w:val="clear" w:color="auto" w:fill="FFFFFF"/>
              </w:rPr>
              <w:t>坚持不懈抓生态宜居美丽乡村建设。</w:t>
            </w:r>
            <w:r>
              <w:rPr>
                <w:rFonts w:hint="eastAsia" w:asciiTheme="minorEastAsia" w:hAnsiTheme="minorEastAsia" w:eastAsiaTheme="minorEastAsia" w:cstheme="minorEastAsia"/>
                <w:b w:val="0"/>
                <w:i w:val="0"/>
                <w:caps w:val="0"/>
                <w:color w:val="333333"/>
                <w:spacing w:val="7"/>
                <w:sz w:val="21"/>
                <w:szCs w:val="21"/>
                <w:highlight w:val="none"/>
                <w:shd w:val="clear" w:color="auto" w:fill="FFFFFF"/>
              </w:rPr>
              <w:t>推进美丽乡村建设，着力改善农村人居环境。推进农村厕所革命，完善“村村通”道路建设，提升农村基础设施水平，全面改善农村环境面貌。加强环境保护宣传和监管力度，落实监管责任，严格执行“河长制”和推进“五清”行动，加强饮用水源地保护，守护青山绿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283" w:type="dxa"/>
            <w:vMerge w:val="continue"/>
            <w:vAlign w:val="center"/>
          </w:tcPr>
          <w:p>
            <w:pPr>
              <w:widowControl/>
              <w:jc w:val="center"/>
              <w:rPr>
                <w:rFonts w:ascii="宋体" w:hAnsi="宋体"/>
                <w:kern w:val="0"/>
                <w:szCs w:val="21"/>
                <w:highlight w:val="none"/>
              </w:rPr>
            </w:pPr>
          </w:p>
        </w:tc>
        <w:tc>
          <w:tcPr>
            <w:tcW w:w="1860" w:type="dxa"/>
            <w:gridSpan w:val="2"/>
            <w:vMerge w:val="continue"/>
            <w:vAlign w:val="center"/>
          </w:tcPr>
          <w:p>
            <w:pPr>
              <w:widowControl/>
              <w:jc w:val="left"/>
              <w:rPr>
                <w:kern w:val="0"/>
                <w:szCs w:val="21"/>
                <w:highlight w:val="none"/>
              </w:rPr>
            </w:pPr>
          </w:p>
        </w:tc>
        <w:tc>
          <w:tcPr>
            <w:tcW w:w="6497" w:type="dxa"/>
            <w:gridSpan w:val="5"/>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kern w:val="0"/>
                <w:szCs w:val="21"/>
                <w:highlight w:val="none"/>
              </w:rPr>
            </w:pPr>
            <w:r>
              <w:rPr>
                <w:kern w:val="0"/>
                <w:szCs w:val="21"/>
                <w:highlight w:val="none"/>
              </w:rPr>
              <w:t>效益指标</w:t>
            </w:r>
            <w:r>
              <w:rPr>
                <w:rFonts w:hint="eastAsia"/>
                <w:kern w:val="0"/>
                <w:szCs w:val="21"/>
                <w:highlight w:val="none"/>
              </w:rPr>
              <w:t>（经济效益、社会效益、生态效益、可持续影响、满意度）：</w:t>
            </w:r>
          </w:p>
          <w:p>
            <w:pPr>
              <w:keepNext w:val="0"/>
              <w:keepLines w:val="0"/>
              <w:pageBreakBefore w:val="0"/>
              <w:widowControl/>
              <w:numPr>
                <w:ilvl w:val="0"/>
                <w:numId w:val="1"/>
              </w:numPr>
              <w:kinsoku/>
              <w:wordWrap/>
              <w:overflowPunct/>
              <w:topLinePunct w:val="0"/>
              <w:autoSpaceDE/>
              <w:autoSpaceDN/>
              <w:bidi w:val="0"/>
              <w:adjustRightInd/>
              <w:snapToGrid/>
              <w:spacing w:line="480" w:lineRule="exact"/>
              <w:jc w:val="left"/>
              <w:textAlignment w:val="auto"/>
              <w:rPr>
                <w:rFonts w:hint="eastAsia" w:ascii="Calibri" w:hAnsi="Calibri" w:eastAsia="宋体" w:cs="Times New Roman"/>
                <w:kern w:val="0"/>
                <w:szCs w:val="21"/>
                <w:highlight w:val="none"/>
              </w:rPr>
            </w:pPr>
            <w:r>
              <w:rPr>
                <w:rFonts w:hint="eastAsia" w:ascii="Calibri" w:hAnsi="Calibri" w:eastAsia="宋体" w:cs="Times New Roman"/>
                <w:kern w:val="0"/>
                <w:szCs w:val="21"/>
                <w:highlight w:val="none"/>
              </w:rPr>
              <w:t>经济效益指标：各项税费的征收，保障了国家财政收入，为更好的发挥政府职能打下了经济基础</w:t>
            </w:r>
            <w:r>
              <w:rPr>
                <w:rFonts w:hint="eastAsia" w:ascii="Calibri" w:hAnsi="Calibri" w:eastAsia="宋体" w:cs="Times New Roman"/>
                <w:kern w:val="0"/>
                <w:szCs w:val="21"/>
                <w:highlight w:val="none"/>
                <w:lang w:eastAsia="zh-CN"/>
              </w:rPr>
              <w:t>。</w:t>
            </w:r>
            <w:r>
              <w:rPr>
                <w:rFonts w:hint="eastAsia" w:ascii="Calibri" w:hAnsi="Calibri" w:eastAsia="宋体" w:cs="Times New Roman"/>
                <w:kern w:val="0"/>
                <w:szCs w:val="21"/>
                <w:highlight w:val="none"/>
              </w:rPr>
              <w:t>大力发展农业，促进了农村的经济发展，提高了农村的生活质量，实现农民人</w:t>
            </w:r>
            <w:r>
              <w:rPr>
                <w:rFonts w:hint="eastAsia" w:ascii="Calibri" w:hAnsi="Calibri" w:eastAsia="宋体" w:cs="Times New Roman"/>
                <w:kern w:val="0"/>
                <w:szCs w:val="21"/>
                <w:highlight w:val="none"/>
                <w:lang w:eastAsia="zh-CN"/>
              </w:rPr>
              <w:t>均可支配收入</w:t>
            </w:r>
            <w:r>
              <w:rPr>
                <w:rFonts w:hint="eastAsia" w:ascii="Calibri" w:hAnsi="Calibri" w:eastAsia="宋体" w:cs="Times New Roman"/>
                <w:kern w:val="0"/>
                <w:szCs w:val="21"/>
                <w:highlight w:val="none"/>
              </w:rPr>
              <w:t>达到</w:t>
            </w:r>
            <w:r>
              <w:rPr>
                <w:rFonts w:hint="eastAsia" w:ascii="Calibri" w:hAnsi="Calibri" w:eastAsia="宋体" w:cs="Times New Roman"/>
                <w:kern w:val="0"/>
                <w:szCs w:val="21"/>
                <w:highlight w:val="none"/>
                <w:lang w:val="en-US" w:eastAsia="zh-CN"/>
              </w:rPr>
              <w:t>9205</w:t>
            </w:r>
            <w:r>
              <w:rPr>
                <w:rFonts w:hint="eastAsia" w:ascii="Calibri" w:hAnsi="Calibri" w:eastAsia="宋体" w:cs="Times New Roman"/>
                <w:kern w:val="0"/>
                <w:szCs w:val="21"/>
                <w:highlight w:val="none"/>
              </w:rPr>
              <w:t>元</w:t>
            </w:r>
            <w:r>
              <w:rPr>
                <w:rFonts w:hint="eastAsia" w:ascii="Calibri" w:hAnsi="Calibri" w:eastAsia="宋体" w:cs="Times New Roman"/>
                <w:kern w:val="0"/>
                <w:szCs w:val="21"/>
                <w:highlight w:val="none"/>
                <w:lang w:eastAsia="zh-CN"/>
              </w:rPr>
              <w:t>，同比增长</w:t>
            </w:r>
            <w:r>
              <w:rPr>
                <w:rFonts w:hint="eastAsia" w:ascii="Calibri" w:hAnsi="Calibri" w:eastAsia="宋体" w:cs="Times New Roman"/>
                <w:kern w:val="0"/>
                <w:szCs w:val="21"/>
                <w:highlight w:val="none"/>
                <w:lang w:val="en-US" w:eastAsia="zh-CN"/>
              </w:rPr>
              <w:t>12%以上</w:t>
            </w:r>
            <w:r>
              <w:rPr>
                <w:rFonts w:hint="eastAsia" w:ascii="Calibri" w:hAnsi="Calibri" w:eastAsia="宋体" w:cs="Times New Roman"/>
                <w:kern w:val="0"/>
                <w:szCs w:val="21"/>
                <w:highlight w:val="none"/>
              </w:rPr>
              <w:t>。</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Calibri" w:hAnsi="Calibri" w:eastAsia="宋体" w:cs="Times New Roman"/>
                <w:highlight w:val="none"/>
              </w:rPr>
            </w:pPr>
            <w:r>
              <w:rPr>
                <w:rFonts w:hint="eastAsia" w:ascii="Calibri" w:hAnsi="Calibri" w:eastAsia="宋体" w:cs="Times New Roman"/>
                <w:kern w:val="0"/>
                <w:szCs w:val="21"/>
                <w:highlight w:val="none"/>
                <w:lang w:val="en-US" w:eastAsia="zh-CN"/>
              </w:rPr>
              <w:t>2</w:t>
            </w:r>
            <w:r>
              <w:rPr>
                <w:rFonts w:hint="eastAsia" w:ascii="Calibri" w:hAnsi="Calibri" w:eastAsia="宋体" w:cs="Times New Roman"/>
                <w:kern w:val="0"/>
                <w:szCs w:val="21"/>
                <w:highlight w:val="none"/>
              </w:rPr>
              <w:t>、社会效益指标：进一步推进</w:t>
            </w:r>
            <w:r>
              <w:rPr>
                <w:rFonts w:hint="eastAsia" w:ascii="Calibri" w:hAnsi="Calibri" w:eastAsia="宋体" w:cs="Times New Roman"/>
                <w:kern w:val="0"/>
                <w:szCs w:val="21"/>
                <w:highlight w:val="none"/>
                <w:lang w:eastAsia="zh-CN"/>
              </w:rPr>
              <w:t>全乡</w:t>
            </w:r>
            <w:r>
              <w:rPr>
                <w:rFonts w:hint="eastAsia" w:ascii="Calibri" w:hAnsi="Calibri" w:eastAsia="宋体" w:cs="Times New Roman"/>
                <w:kern w:val="0"/>
                <w:szCs w:val="21"/>
                <w:highlight w:val="none"/>
              </w:rPr>
              <w:t>、农村社会发展进程，按照</w:t>
            </w:r>
            <w:r>
              <w:rPr>
                <w:rFonts w:ascii="Calibri" w:hAnsi="Calibri" w:eastAsia="宋体" w:cs="Times New Roman"/>
                <w:highlight w:val="none"/>
              </w:rPr>
              <w:t>201</w:t>
            </w:r>
            <w:r>
              <w:rPr>
                <w:rFonts w:hint="eastAsia" w:ascii="Calibri" w:hAnsi="Calibri" w:eastAsia="宋体" w:cs="Times New Roman"/>
                <w:highlight w:val="none"/>
              </w:rPr>
              <w:t>6—</w:t>
            </w:r>
            <w:r>
              <w:rPr>
                <w:rFonts w:ascii="Calibri" w:hAnsi="Calibri" w:eastAsia="宋体" w:cs="Times New Roman"/>
                <w:highlight w:val="none"/>
              </w:rPr>
              <w:t>20</w:t>
            </w:r>
            <w:r>
              <w:rPr>
                <w:rFonts w:hint="eastAsia" w:ascii="Calibri" w:hAnsi="Calibri" w:eastAsia="宋体" w:cs="Times New Roman"/>
                <w:highlight w:val="none"/>
              </w:rPr>
              <w:t>20</w:t>
            </w:r>
            <w:r>
              <w:rPr>
                <w:rFonts w:ascii="Calibri" w:hAnsi="Calibri" w:eastAsia="宋体" w:cs="Times New Roman"/>
                <w:highlight w:val="none"/>
              </w:rPr>
              <w:t>年</w:t>
            </w:r>
            <w:r>
              <w:rPr>
                <w:rFonts w:hint="eastAsia" w:ascii="Calibri" w:hAnsi="Calibri" w:eastAsia="宋体" w:cs="Times New Roman"/>
                <w:highlight w:val="none"/>
              </w:rPr>
              <w:t>五</w:t>
            </w:r>
            <w:r>
              <w:rPr>
                <w:rFonts w:ascii="Calibri" w:hAnsi="Calibri" w:eastAsia="宋体" w:cs="Times New Roman"/>
                <w:highlight w:val="none"/>
              </w:rPr>
              <w:t>年</w:t>
            </w:r>
            <w:r>
              <w:rPr>
                <w:rFonts w:hint="eastAsia" w:ascii="Calibri" w:hAnsi="Calibri" w:eastAsia="宋体" w:cs="Times New Roman"/>
                <w:highlight w:val="none"/>
              </w:rPr>
              <w:t>规划，推进</w:t>
            </w:r>
            <w:r>
              <w:rPr>
                <w:rFonts w:ascii="Calibri" w:hAnsi="Calibri" w:eastAsia="宋体" w:cs="Times New Roman"/>
                <w:highlight w:val="none"/>
              </w:rPr>
              <w:t>全面建成小康社</w:t>
            </w:r>
            <w:r>
              <w:rPr>
                <w:rFonts w:hint="eastAsia" w:ascii="Calibri" w:hAnsi="Calibri" w:eastAsia="宋体" w:cs="Times New Roman"/>
                <w:highlight w:val="none"/>
              </w:rPr>
              <w:t>会。</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Calibri" w:hAnsi="Calibri" w:eastAsia="宋体" w:cs="Times New Roman"/>
                <w:kern w:val="0"/>
                <w:szCs w:val="21"/>
                <w:highlight w:val="none"/>
              </w:rPr>
            </w:pPr>
            <w:r>
              <w:rPr>
                <w:rFonts w:hint="eastAsia" w:ascii="Calibri" w:hAnsi="Calibri" w:eastAsia="宋体" w:cs="Times New Roman"/>
                <w:kern w:val="0"/>
                <w:szCs w:val="21"/>
                <w:highlight w:val="none"/>
                <w:lang w:val="en-US" w:eastAsia="zh-CN"/>
              </w:rPr>
              <w:t>3</w:t>
            </w:r>
            <w:r>
              <w:rPr>
                <w:rFonts w:hint="eastAsia" w:ascii="Calibri" w:hAnsi="Calibri" w:eastAsia="宋体" w:cs="Times New Roman"/>
                <w:kern w:val="0"/>
                <w:szCs w:val="21"/>
                <w:highlight w:val="none"/>
              </w:rPr>
              <w:t>、生态效益指标：依托</w:t>
            </w:r>
            <w:r>
              <w:rPr>
                <w:rFonts w:ascii="Calibri" w:hAnsi="Calibri" w:eastAsia="宋体" w:cs="Times New Roman"/>
                <w:highlight w:val="none"/>
              </w:rPr>
              <w:t>规模种养基地</w:t>
            </w:r>
            <w:r>
              <w:rPr>
                <w:rFonts w:hint="eastAsia" w:ascii="Calibri" w:hAnsi="Calibri" w:eastAsia="宋体" w:cs="Times New Roman"/>
                <w:highlight w:val="none"/>
              </w:rPr>
              <w:t>建设、保护环境、倡导绿色环保等</w:t>
            </w:r>
            <w:r>
              <w:rPr>
                <w:rFonts w:hint="eastAsia" w:ascii="Calibri" w:hAnsi="Calibri" w:eastAsia="宋体" w:cs="Times New Roman"/>
                <w:kern w:val="0"/>
                <w:szCs w:val="21"/>
                <w:highlight w:val="none"/>
              </w:rPr>
              <w:t>打造绿色生态产业链，实现可持续发展的生态工程。</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Calibri" w:hAnsi="Calibri" w:eastAsia="宋体" w:cs="Times New Roman"/>
                <w:kern w:val="0"/>
                <w:szCs w:val="21"/>
                <w:highlight w:val="none"/>
              </w:rPr>
            </w:pPr>
            <w:r>
              <w:rPr>
                <w:rFonts w:hint="eastAsia" w:ascii="Calibri" w:hAnsi="Calibri" w:eastAsia="宋体" w:cs="Times New Roman"/>
                <w:kern w:val="0"/>
                <w:szCs w:val="21"/>
                <w:highlight w:val="none"/>
                <w:lang w:val="en-US" w:eastAsia="zh-CN"/>
              </w:rPr>
              <w:t>4</w:t>
            </w:r>
            <w:r>
              <w:rPr>
                <w:rFonts w:hint="eastAsia" w:ascii="Calibri" w:hAnsi="Calibri" w:eastAsia="宋体" w:cs="Times New Roman"/>
                <w:kern w:val="0"/>
                <w:szCs w:val="21"/>
                <w:highlight w:val="none"/>
              </w:rPr>
              <w:t>、可持续影响指标：坚持以可持续发展、创新为目标，促进社会经济、农业、环境等统筹发展。</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kern w:val="0"/>
                <w:szCs w:val="21"/>
                <w:highlight w:val="none"/>
              </w:rPr>
            </w:pPr>
            <w:r>
              <w:rPr>
                <w:rFonts w:hint="eastAsia" w:ascii="Calibri" w:hAnsi="Calibri" w:eastAsia="宋体" w:cs="Times New Roman"/>
                <w:kern w:val="0"/>
                <w:szCs w:val="21"/>
                <w:highlight w:val="none"/>
                <w:lang w:val="en-US" w:eastAsia="zh-CN"/>
              </w:rPr>
              <w:t>5</w:t>
            </w:r>
            <w:r>
              <w:rPr>
                <w:rFonts w:hint="eastAsia" w:ascii="Calibri" w:hAnsi="Calibri" w:eastAsia="宋体" w:cs="Times New Roman"/>
                <w:kern w:val="0"/>
                <w:szCs w:val="21"/>
                <w:highlight w:val="none"/>
              </w:rPr>
              <w:t>、社会公众或服务对象满意度指标：各类政策落实、为民办实事等工作群众满意度</w:t>
            </w:r>
            <w:r>
              <w:rPr>
                <w:rFonts w:hint="eastAsia" w:ascii="Calibri" w:hAnsi="Calibri" w:eastAsia="宋体" w:cs="Times New Roman"/>
                <w:kern w:val="0"/>
                <w:szCs w:val="21"/>
                <w:highlight w:val="none"/>
                <w:lang w:val="en-US" w:eastAsia="zh-CN"/>
              </w:rPr>
              <w:t>95</w:t>
            </w:r>
            <w:r>
              <w:rPr>
                <w:rFonts w:hint="eastAsia" w:ascii="Calibri" w:hAnsi="Calibri" w:eastAsia="宋体" w:cs="Times New Roman"/>
                <w:kern w:val="0"/>
                <w:szCs w:val="21"/>
                <w:highlight w:val="none"/>
              </w:rPr>
              <w:t>%</w:t>
            </w:r>
            <w:r>
              <w:rPr>
                <w:rFonts w:hint="eastAsia" w:ascii="Calibri" w:hAnsi="Calibri" w:eastAsia="宋体" w:cs="Times New Roman"/>
                <w:kern w:val="0"/>
                <w:szCs w:val="21"/>
                <w:highlight w:val="none"/>
                <w:lang w:val="en-US" w:eastAsia="zh-CN"/>
              </w:rPr>
              <w:t>以上</w:t>
            </w:r>
            <w:r>
              <w:rPr>
                <w:rFonts w:hint="eastAsia" w:ascii="Calibri" w:hAnsi="Calibri" w:eastAsia="宋体" w:cs="Times New Roman"/>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283" w:type="dxa"/>
            <w:vMerge w:val="continue"/>
            <w:vAlign w:val="center"/>
          </w:tcPr>
          <w:p>
            <w:pPr>
              <w:widowControl/>
              <w:jc w:val="center"/>
              <w:rPr>
                <w:rFonts w:ascii="宋体" w:hAnsi="宋体"/>
                <w:kern w:val="0"/>
                <w:szCs w:val="21"/>
                <w:highlight w:val="none"/>
              </w:rPr>
            </w:pPr>
          </w:p>
        </w:tc>
        <w:tc>
          <w:tcPr>
            <w:tcW w:w="1860" w:type="dxa"/>
            <w:gridSpan w:val="2"/>
            <w:vMerge w:val="restart"/>
            <w:vAlign w:val="center"/>
          </w:tcPr>
          <w:p>
            <w:pPr>
              <w:widowControl/>
              <w:jc w:val="left"/>
              <w:rPr>
                <w:kern w:val="0"/>
                <w:szCs w:val="21"/>
                <w:highlight w:val="none"/>
              </w:rPr>
            </w:pPr>
            <w:r>
              <w:rPr>
                <w:rFonts w:hint="eastAsia"/>
                <w:kern w:val="0"/>
                <w:szCs w:val="21"/>
                <w:highlight w:val="none"/>
              </w:rPr>
              <w:t>绩效目标内容2：</w:t>
            </w:r>
          </w:p>
          <w:p>
            <w:pPr>
              <w:widowControl/>
              <w:jc w:val="left"/>
              <w:rPr>
                <w:kern w:val="0"/>
                <w:szCs w:val="21"/>
                <w:highlight w:val="none"/>
              </w:rPr>
            </w:pPr>
            <w:r>
              <w:rPr>
                <w:highlight w:val="none"/>
              </w:rPr>
              <w:t>基础设施与公用设施建设与管理</w:t>
            </w:r>
          </w:p>
        </w:tc>
        <w:tc>
          <w:tcPr>
            <w:tcW w:w="6497" w:type="dxa"/>
            <w:gridSpan w:val="5"/>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kern w:val="0"/>
                <w:szCs w:val="21"/>
                <w:highlight w:val="none"/>
              </w:rPr>
            </w:pPr>
            <w:r>
              <w:rPr>
                <w:kern w:val="0"/>
                <w:szCs w:val="21"/>
                <w:highlight w:val="none"/>
              </w:rPr>
              <w:t>产出指标</w:t>
            </w:r>
            <w:r>
              <w:rPr>
                <w:rFonts w:hint="eastAsia"/>
                <w:kern w:val="0"/>
                <w:szCs w:val="21"/>
                <w:highlight w:val="none"/>
              </w:rPr>
              <w:t>：</w:t>
            </w:r>
          </w:p>
          <w:p>
            <w:pPr>
              <w:keepNext w:val="0"/>
              <w:keepLines w:val="0"/>
              <w:pageBreakBefore w:val="0"/>
              <w:widowControl/>
              <w:numPr>
                <w:ilvl w:val="0"/>
                <w:numId w:val="2"/>
              </w:numPr>
              <w:kinsoku/>
              <w:wordWrap/>
              <w:overflowPunct/>
              <w:topLinePunct w:val="0"/>
              <w:autoSpaceDE/>
              <w:autoSpaceDN/>
              <w:bidi w:val="0"/>
              <w:adjustRightInd/>
              <w:snapToGrid/>
              <w:spacing w:line="480" w:lineRule="exact"/>
              <w:ind w:firstLine="420" w:firstLineChars="200"/>
              <w:jc w:val="left"/>
              <w:textAlignment w:val="auto"/>
              <w:rPr>
                <w:rFonts w:hint="eastAsia" w:asciiTheme="minorEastAsia" w:hAnsiTheme="minorEastAsia" w:eastAsiaTheme="minorEastAsia" w:cstheme="minorEastAsia"/>
                <w:sz w:val="21"/>
                <w:szCs w:val="21"/>
                <w:highlight w:val="none"/>
                <w:lang w:val="en-US" w:eastAsia="zh-CN"/>
              </w:rPr>
            </w:pPr>
            <w:r>
              <w:rPr>
                <w:highlight w:val="none"/>
              </w:rPr>
              <w:t>基础设施建设</w:t>
            </w:r>
            <w:r>
              <w:rPr>
                <w:rFonts w:hint="eastAsia" w:asciiTheme="minorEastAsia" w:hAnsiTheme="minorEastAsia" w:eastAsiaTheme="minorEastAsia" w:cstheme="minorEastAsia"/>
                <w:sz w:val="21"/>
                <w:szCs w:val="21"/>
                <w:highlight w:val="none"/>
              </w:rPr>
              <w:t>。</w:t>
            </w:r>
            <w:r>
              <w:rPr>
                <w:rFonts w:hint="eastAsia" w:asciiTheme="minorEastAsia" w:hAnsiTheme="minorEastAsia" w:eastAsiaTheme="minorEastAsia" w:cstheme="minorEastAsia"/>
                <w:sz w:val="21"/>
                <w:szCs w:val="21"/>
                <w:highlight w:val="none"/>
                <w:lang w:val="en-US" w:eastAsia="zh-CN"/>
              </w:rPr>
              <w:t>2020</w:t>
            </w:r>
            <w:r>
              <w:rPr>
                <w:rFonts w:hint="eastAsia" w:asciiTheme="minorEastAsia" w:hAnsiTheme="minorEastAsia" w:eastAsiaTheme="minorEastAsia" w:cstheme="minorEastAsia"/>
                <w:sz w:val="21"/>
                <w:szCs w:val="21"/>
                <w:highlight w:val="none"/>
              </w:rPr>
              <w:t>年实施</w:t>
            </w:r>
            <w:r>
              <w:rPr>
                <w:rFonts w:hint="eastAsia" w:asciiTheme="minorEastAsia" w:hAnsiTheme="minorEastAsia" w:eastAsiaTheme="minorEastAsia" w:cstheme="minorEastAsia"/>
                <w:b w:val="0"/>
                <w:i w:val="0"/>
                <w:caps w:val="0"/>
                <w:color w:val="333333"/>
                <w:spacing w:val="7"/>
                <w:sz w:val="21"/>
                <w:szCs w:val="21"/>
                <w:highlight w:val="none"/>
                <w:shd w:val="clear" w:color="auto" w:fill="FFFFFF"/>
              </w:rPr>
              <w:t>美丽乡村建设，着力改善农村人居环境</w:t>
            </w:r>
            <w:r>
              <w:rPr>
                <w:rFonts w:hint="eastAsia" w:ascii="仿宋" w:hAnsi="仿宋" w:eastAsia="仿宋" w:cs="仿宋"/>
                <w:b w:val="0"/>
                <w:i w:val="0"/>
                <w:caps w:val="0"/>
                <w:color w:val="333333"/>
                <w:spacing w:val="7"/>
                <w:sz w:val="32"/>
                <w:szCs w:val="32"/>
                <w:highlight w:val="none"/>
                <w:shd w:val="clear" w:color="auto" w:fill="FFFFFF"/>
                <w:lang w:eastAsia="zh-CN"/>
              </w:rPr>
              <w:t>，</w:t>
            </w:r>
            <w:r>
              <w:rPr>
                <w:rFonts w:hint="eastAsia"/>
                <w:highlight w:val="none"/>
                <w:lang w:val="en-US" w:eastAsia="zh-CN"/>
              </w:rPr>
              <w:t>村级</w:t>
            </w:r>
            <w:r>
              <w:rPr>
                <w:rFonts w:hint="eastAsia"/>
                <w:highlight w:val="none"/>
              </w:rPr>
              <w:t>小额基础设施建设，进行道路维修、机耕道修建、户道组道硬化。</w:t>
            </w:r>
            <w:r>
              <w:rPr>
                <w:rFonts w:hint="eastAsia"/>
                <w:highlight w:val="none"/>
                <w:lang w:eastAsia="zh-CN"/>
              </w:rPr>
              <w:t>推进城乡增减挂钩拆旧复垦项目建设</w:t>
            </w:r>
            <w:r>
              <w:rPr>
                <w:rFonts w:hint="eastAsia"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b w:val="0"/>
                <w:i w:val="0"/>
                <w:caps w:val="0"/>
                <w:color w:val="333333"/>
                <w:spacing w:val="7"/>
                <w:sz w:val="21"/>
                <w:szCs w:val="21"/>
                <w:highlight w:val="none"/>
                <w:shd w:val="clear" w:color="auto" w:fill="FFFFFF"/>
              </w:rPr>
              <w:t>推进农村厕所革命，完善“村村通”道路建设，提升农村基础设施水平，全面改善农村环境面貌。</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Theme="minorEastAsia" w:hAnsiTheme="minorEastAsia" w:eastAsiaTheme="minorEastAsia" w:cstheme="minorEastAsia"/>
                <w:sz w:val="21"/>
                <w:szCs w:val="21"/>
                <w:highlight w:val="none"/>
              </w:rPr>
            </w:pPr>
            <w:r>
              <w:rPr>
                <w:rFonts w:hint="eastAsia"/>
                <w:highlight w:val="none"/>
              </w:rPr>
              <w:t>2、</w:t>
            </w:r>
            <w:r>
              <w:rPr>
                <w:highlight w:val="none"/>
              </w:rPr>
              <w:t>建设环境。</w:t>
            </w:r>
            <w:r>
              <w:rPr>
                <w:rFonts w:hint="eastAsia"/>
                <w:highlight w:val="none"/>
              </w:rPr>
              <w:t>农村人居环境综合整治争创全省先进。完成12个村的村庄规划编制，加快建设美丽乡村，开展农村“空心房”整治。加强对历史文化名村、传统村落、传统居民的保护。</w:t>
            </w:r>
            <w:r>
              <w:rPr>
                <w:rFonts w:hint="eastAsia" w:asciiTheme="minorEastAsia" w:hAnsiTheme="minorEastAsia" w:eastAsiaTheme="minorEastAsia" w:cstheme="minorEastAsia"/>
                <w:sz w:val="21"/>
                <w:szCs w:val="21"/>
                <w:highlight w:val="none"/>
              </w:rPr>
              <w:t>坚守耕地保护红线，巩固森林覆盖率78%以上，完成造林400亩，幼林抚育1500亩，商品材砍伐量控制在4000立方米以下，健全森林火灾和病虫害应急预警救灾机制。抓好水资源的保护，严格执行“七个一律”，狠抓河长制落实，有效开展农村养猪场废水排放整治工作。</w:t>
            </w:r>
          </w:p>
          <w:p>
            <w:pPr>
              <w:pStyle w:val="16"/>
              <w:keepNext w:val="0"/>
              <w:keepLines w:val="0"/>
              <w:pageBreakBefore w:val="0"/>
              <w:kinsoku/>
              <w:wordWrap/>
              <w:overflowPunct/>
              <w:topLinePunct w:val="0"/>
              <w:autoSpaceDE/>
              <w:autoSpaceDN/>
              <w:bidi w:val="0"/>
              <w:adjustRightInd/>
              <w:snapToGrid/>
              <w:spacing w:line="480" w:lineRule="exact"/>
              <w:ind w:firstLine="420" w:firstLineChars="200"/>
              <w:jc w:val="both"/>
              <w:textAlignment w:val="auto"/>
              <w:rPr>
                <w:highlight w:val="none"/>
              </w:rPr>
            </w:pPr>
            <w:r>
              <w:rPr>
                <w:rFonts w:hint="eastAsia" w:asciiTheme="minorEastAsia" w:hAnsiTheme="minorEastAsia" w:eastAsiaTheme="minorEastAsia" w:cstheme="minorEastAsia"/>
                <w:sz w:val="21"/>
                <w:szCs w:val="21"/>
                <w:highlight w:val="none"/>
              </w:rPr>
              <w:t>3、为民办实事</w:t>
            </w:r>
            <w:r>
              <w:rPr>
                <w:rFonts w:hint="eastAsia"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sz w:val="21"/>
                <w:szCs w:val="21"/>
                <w:highlight w:val="none"/>
              </w:rPr>
              <w:t>扎实完成上级为民办实事任务；完成医保社保收缴任务；落实农民工工资“五项”保障措施，重点做好农民工工资专户和银行代发工作。加大社会救助体系的建设，落实民政优抚政策。推进新建成的村卫生室规范使用。加强医卫队伍建设，力争“慢病不出村、小病不出乡、大病不出县”。推进家庭医生签约服务，解决只签约不服务问题。做好城乡居民医保工作，确保贫困人口100%参保和终予缴费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283" w:type="dxa"/>
            <w:vMerge w:val="continue"/>
            <w:vAlign w:val="center"/>
          </w:tcPr>
          <w:p>
            <w:pPr>
              <w:widowControl/>
              <w:jc w:val="center"/>
              <w:rPr>
                <w:rFonts w:ascii="宋体" w:hAnsi="宋体"/>
                <w:kern w:val="0"/>
                <w:szCs w:val="21"/>
                <w:highlight w:val="none"/>
              </w:rPr>
            </w:pPr>
          </w:p>
        </w:tc>
        <w:tc>
          <w:tcPr>
            <w:tcW w:w="1860" w:type="dxa"/>
            <w:gridSpan w:val="2"/>
            <w:vMerge w:val="continue"/>
            <w:vAlign w:val="center"/>
          </w:tcPr>
          <w:p>
            <w:pPr>
              <w:widowControl/>
              <w:jc w:val="left"/>
              <w:rPr>
                <w:kern w:val="0"/>
                <w:szCs w:val="21"/>
                <w:highlight w:val="none"/>
              </w:rPr>
            </w:pPr>
          </w:p>
        </w:tc>
        <w:tc>
          <w:tcPr>
            <w:tcW w:w="6497" w:type="dxa"/>
            <w:gridSpan w:val="5"/>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kern w:val="0"/>
                <w:szCs w:val="21"/>
                <w:highlight w:val="none"/>
              </w:rPr>
            </w:pPr>
            <w:r>
              <w:rPr>
                <w:kern w:val="0"/>
                <w:szCs w:val="21"/>
                <w:highlight w:val="none"/>
              </w:rPr>
              <w:t>效益指标</w:t>
            </w:r>
            <w:r>
              <w:rPr>
                <w:rFonts w:hint="eastAsia"/>
                <w:kern w:val="0"/>
                <w:szCs w:val="21"/>
                <w:highlight w:val="none"/>
              </w:rPr>
              <w:t>：</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Calibri" w:hAnsi="Calibri" w:eastAsia="宋体" w:cs="Times New Roman"/>
                <w:kern w:val="0"/>
                <w:szCs w:val="21"/>
                <w:highlight w:val="none"/>
              </w:rPr>
            </w:pPr>
            <w:r>
              <w:rPr>
                <w:rFonts w:hint="eastAsia" w:ascii="Calibri" w:hAnsi="Calibri" w:eastAsia="宋体" w:cs="Times New Roman"/>
                <w:kern w:val="0"/>
                <w:szCs w:val="21"/>
                <w:highlight w:val="none"/>
              </w:rPr>
              <w:t>1、经济效益指标：道路、水利等基础设施建设稳步推进，固定资产投资增长</w:t>
            </w:r>
            <w:r>
              <w:rPr>
                <w:rFonts w:hint="eastAsia" w:ascii="Calibri" w:hAnsi="Calibri" w:eastAsia="宋体" w:cs="Times New Roman"/>
                <w:kern w:val="0"/>
                <w:szCs w:val="21"/>
                <w:highlight w:val="none"/>
                <w:lang w:val="en-US" w:eastAsia="zh-CN"/>
              </w:rPr>
              <w:t>10</w:t>
            </w:r>
            <w:r>
              <w:rPr>
                <w:rFonts w:hint="eastAsia" w:ascii="Calibri" w:hAnsi="Calibri" w:eastAsia="宋体" w:cs="Times New Roman"/>
                <w:kern w:val="0"/>
                <w:szCs w:val="21"/>
                <w:highlight w:val="none"/>
              </w:rPr>
              <w:t>%以上</w:t>
            </w:r>
            <w:r>
              <w:rPr>
                <w:rFonts w:hint="eastAsia" w:ascii="Calibri" w:hAnsi="Calibri" w:eastAsia="宋体" w:cs="Times New Roman"/>
                <w:kern w:val="0"/>
                <w:szCs w:val="21"/>
                <w:highlight w:val="none"/>
                <w:lang w:eastAsia="zh-CN"/>
              </w:rPr>
              <w:t>，</w:t>
            </w:r>
            <w:r>
              <w:rPr>
                <w:rFonts w:hint="eastAsia" w:ascii="Calibri" w:hAnsi="Calibri" w:eastAsia="宋体" w:cs="Times New Roman"/>
                <w:kern w:val="0"/>
                <w:szCs w:val="21"/>
                <w:highlight w:val="none"/>
              </w:rPr>
              <w:t>为</w:t>
            </w:r>
            <w:r>
              <w:rPr>
                <w:rFonts w:hint="eastAsia" w:ascii="Calibri" w:hAnsi="Calibri" w:eastAsia="宋体" w:cs="Times New Roman"/>
                <w:kern w:val="0"/>
                <w:szCs w:val="21"/>
                <w:highlight w:val="none"/>
                <w:lang w:eastAsia="zh-CN"/>
              </w:rPr>
              <w:t>东山乡</w:t>
            </w:r>
            <w:r>
              <w:rPr>
                <w:rFonts w:hint="eastAsia" w:ascii="Calibri" w:hAnsi="Calibri" w:eastAsia="宋体" w:cs="Times New Roman"/>
                <w:kern w:val="0"/>
                <w:szCs w:val="21"/>
                <w:highlight w:val="none"/>
              </w:rPr>
              <w:t>经济发展提供了客观条件。</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Calibri" w:hAnsi="Calibri" w:eastAsia="宋体" w:cs="Times New Roman"/>
                <w:kern w:val="0"/>
                <w:szCs w:val="21"/>
                <w:highlight w:val="none"/>
              </w:rPr>
            </w:pPr>
            <w:r>
              <w:rPr>
                <w:rFonts w:hint="eastAsia" w:ascii="Calibri" w:hAnsi="Calibri" w:eastAsia="宋体" w:cs="Times New Roman"/>
                <w:kern w:val="0"/>
                <w:szCs w:val="21"/>
                <w:highlight w:val="none"/>
              </w:rPr>
              <w:t>2、社会效益指标：深化为人民服务宗旨，坚持为群众办实事、办好事，切实解决人民群众实际困难。</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default" w:ascii="Calibri" w:hAnsi="Calibri" w:eastAsia="宋体" w:cs="Times New Roman"/>
                <w:kern w:val="0"/>
                <w:szCs w:val="21"/>
                <w:highlight w:val="none"/>
                <w:lang w:val="en-US" w:eastAsia="zh-CN"/>
              </w:rPr>
            </w:pPr>
            <w:r>
              <w:rPr>
                <w:rFonts w:hint="eastAsia" w:ascii="Calibri" w:hAnsi="Calibri" w:eastAsia="宋体" w:cs="Times New Roman"/>
                <w:kern w:val="0"/>
                <w:szCs w:val="21"/>
                <w:highlight w:val="none"/>
                <w:lang w:val="en-US" w:eastAsia="zh-CN"/>
              </w:rPr>
              <w:t>3</w:t>
            </w:r>
            <w:r>
              <w:rPr>
                <w:rFonts w:hint="eastAsia" w:ascii="Calibri" w:hAnsi="Calibri" w:eastAsia="宋体" w:cs="Times New Roman"/>
                <w:kern w:val="0"/>
                <w:szCs w:val="21"/>
                <w:highlight w:val="none"/>
              </w:rPr>
              <w:t>、生态效益指标：</w:t>
            </w:r>
            <w:r>
              <w:rPr>
                <w:rFonts w:hint="eastAsia" w:ascii="Calibri" w:hAnsi="Calibri" w:eastAsia="宋体" w:cs="Times New Roman"/>
                <w:kern w:val="0"/>
                <w:szCs w:val="21"/>
                <w:highlight w:val="none"/>
                <w:lang w:val="en-US" w:eastAsia="zh-CN"/>
              </w:rPr>
              <w:t>在发展经济的同时，注重生态文明建设，确保在进行工程项目建设中不产生污染垃圾。</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kern w:val="0"/>
                <w:szCs w:val="21"/>
                <w:highlight w:val="none"/>
              </w:rPr>
            </w:pPr>
            <w:r>
              <w:rPr>
                <w:rFonts w:hint="eastAsia" w:ascii="Calibri" w:hAnsi="Calibri" w:eastAsia="宋体" w:cs="Times New Roman"/>
                <w:kern w:val="0"/>
                <w:szCs w:val="21"/>
                <w:highlight w:val="none"/>
                <w:lang w:val="en-US" w:eastAsia="zh-CN"/>
              </w:rPr>
              <w:t>4、</w:t>
            </w:r>
            <w:r>
              <w:rPr>
                <w:rFonts w:hint="eastAsia" w:ascii="Calibri" w:hAnsi="Calibri" w:eastAsia="宋体" w:cs="Times New Roman"/>
                <w:kern w:val="0"/>
                <w:szCs w:val="21"/>
                <w:highlight w:val="none"/>
              </w:rPr>
              <w:t>社会公众或服务对象满意度指标：各项工作稳步落实，群众满意度度</w:t>
            </w:r>
            <w:r>
              <w:rPr>
                <w:rFonts w:hint="eastAsia" w:ascii="Calibri" w:hAnsi="Calibri" w:eastAsia="宋体" w:cs="Times New Roman"/>
                <w:kern w:val="0"/>
                <w:szCs w:val="21"/>
                <w:highlight w:val="none"/>
                <w:lang w:val="en-US" w:eastAsia="zh-CN"/>
              </w:rPr>
              <w:t>95</w:t>
            </w:r>
            <w:r>
              <w:rPr>
                <w:rFonts w:hint="eastAsia" w:ascii="Calibri" w:hAnsi="Calibri" w:eastAsia="宋体" w:cs="Times New Roman"/>
                <w:kern w:val="0"/>
                <w:szCs w:val="21"/>
                <w:highlight w:val="none"/>
              </w:rPr>
              <w:t>%</w:t>
            </w:r>
            <w:r>
              <w:rPr>
                <w:rFonts w:hint="eastAsia" w:ascii="Calibri" w:hAnsi="Calibri" w:eastAsia="宋体" w:cs="Times New Roman"/>
                <w:kern w:val="0"/>
                <w:szCs w:val="21"/>
                <w:highlight w:val="none"/>
                <w:lang w:val="en-US" w:eastAsia="zh-CN"/>
              </w:rPr>
              <w:t>以上</w:t>
            </w:r>
            <w:r>
              <w:rPr>
                <w:rFonts w:hint="eastAsia" w:ascii="Calibri" w:hAnsi="Calibri" w:eastAsia="宋体" w:cs="Times New Roman"/>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283" w:type="dxa"/>
            <w:vMerge w:val="continue"/>
            <w:vAlign w:val="center"/>
          </w:tcPr>
          <w:p>
            <w:pPr>
              <w:widowControl/>
              <w:jc w:val="center"/>
              <w:rPr>
                <w:rFonts w:ascii="宋体" w:hAnsi="宋体"/>
                <w:kern w:val="0"/>
                <w:szCs w:val="21"/>
                <w:highlight w:val="none"/>
              </w:rPr>
            </w:pPr>
          </w:p>
        </w:tc>
        <w:tc>
          <w:tcPr>
            <w:tcW w:w="1860" w:type="dxa"/>
            <w:gridSpan w:val="2"/>
            <w:vMerge w:val="restart"/>
            <w:vAlign w:val="center"/>
          </w:tcPr>
          <w:p>
            <w:pPr>
              <w:widowControl/>
              <w:jc w:val="left"/>
              <w:rPr>
                <w:kern w:val="0"/>
                <w:szCs w:val="21"/>
                <w:highlight w:val="none"/>
              </w:rPr>
            </w:pPr>
            <w:r>
              <w:rPr>
                <w:rFonts w:hint="eastAsia"/>
                <w:kern w:val="0"/>
                <w:szCs w:val="21"/>
                <w:highlight w:val="none"/>
              </w:rPr>
              <w:t>绩效目标内容3：</w:t>
            </w:r>
          </w:p>
          <w:p>
            <w:pPr>
              <w:widowControl/>
              <w:jc w:val="left"/>
              <w:rPr>
                <w:kern w:val="0"/>
                <w:szCs w:val="21"/>
                <w:highlight w:val="none"/>
              </w:rPr>
            </w:pPr>
            <w:r>
              <w:rPr>
                <w:highlight w:val="none"/>
              </w:rPr>
              <w:t>改善民生</w:t>
            </w:r>
          </w:p>
        </w:tc>
        <w:tc>
          <w:tcPr>
            <w:tcW w:w="6497" w:type="dxa"/>
            <w:gridSpan w:val="5"/>
            <w:vAlign w:val="center"/>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kern w:val="0"/>
                <w:szCs w:val="21"/>
                <w:highlight w:val="none"/>
              </w:rPr>
            </w:pPr>
            <w:r>
              <w:rPr>
                <w:kern w:val="0"/>
                <w:szCs w:val="21"/>
                <w:highlight w:val="none"/>
              </w:rPr>
              <w:t>产出指标</w:t>
            </w:r>
            <w:r>
              <w:rPr>
                <w:rFonts w:hint="eastAsia"/>
                <w:kern w:val="0"/>
                <w:szCs w:val="21"/>
                <w:highlight w:val="none"/>
              </w:rPr>
              <w:t>：</w:t>
            </w:r>
          </w:p>
          <w:p>
            <w:pPr>
              <w:keepNext w:val="0"/>
              <w:keepLines w:val="0"/>
              <w:pageBreakBefore w:val="0"/>
              <w:widowControl/>
              <w:kinsoku/>
              <w:wordWrap/>
              <w:overflowPunct/>
              <w:topLinePunct w:val="0"/>
              <w:autoSpaceDE/>
              <w:autoSpaceDN/>
              <w:bidi w:val="0"/>
              <w:adjustRightInd/>
              <w:snapToGrid/>
              <w:spacing w:line="480" w:lineRule="exact"/>
              <w:ind w:firstLine="420" w:firstLineChars="200"/>
              <w:textAlignment w:val="auto"/>
              <w:rPr>
                <w:highlight w:val="none"/>
              </w:rPr>
            </w:pPr>
            <w:r>
              <w:rPr>
                <w:highlight w:val="none"/>
              </w:rPr>
              <w:t>1、惠农减负。按照上级文件严格落实好各项惠农补贴政策，按程序将惠农补贴资金发放到位，并进行公示，</w:t>
            </w:r>
            <w:r>
              <w:rPr>
                <w:rFonts w:hint="eastAsia"/>
                <w:highlight w:val="none"/>
                <w:lang w:val="en-US" w:eastAsia="zh-CN"/>
              </w:rPr>
              <w:t>确保</w:t>
            </w:r>
            <w:r>
              <w:rPr>
                <w:highlight w:val="none"/>
              </w:rPr>
              <w:t>无涉负群访事件发生。</w:t>
            </w:r>
          </w:p>
          <w:p>
            <w:pPr>
              <w:keepNext w:val="0"/>
              <w:keepLines w:val="0"/>
              <w:pageBreakBefore w:val="0"/>
              <w:widowControl/>
              <w:kinsoku/>
              <w:wordWrap/>
              <w:overflowPunct/>
              <w:topLinePunct w:val="0"/>
              <w:autoSpaceDE/>
              <w:autoSpaceDN/>
              <w:bidi w:val="0"/>
              <w:adjustRightInd/>
              <w:snapToGrid/>
              <w:spacing w:line="480" w:lineRule="exact"/>
              <w:ind w:firstLine="420"/>
              <w:textAlignment w:val="auto"/>
              <w:rPr>
                <w:rFonts w:hint="eastAsia"/>
                <w:kern w:val="0"/>
                <w:szCs w:val="21"/>
                <w:highlight w:val="none"/>
              </w:rPr>
            </w:pPr>
            <w:r>
              <w:rPr>
                <w:highlight w:val="none"/>
              </w:rPr>
              <w:t>2、村级财务管理。严格落实村级财务“双代管”制度，</w:t>
            </w:r>
            <w:r>
              <w:rPr>
                <w:rFonts w:hint="eastAsia"/>
                <w:kern w:val="0"/>
                <w:szCs w:val="21"/>
                <w:highlight w:val="none"/>
              </w:rPr>
              <w:t>搞好“互联网+监督”工作，认真落实村级账务公开制度，每个</w:t>
            </w:r>
            <w:r>
              <w:rPr>
                <w:rFonts w:hint="eastAsia"/>
                <w:kern w:val="0"/>
                <w:szCs w:val="21"/>
                <w:highlight w:val="none"/>
                <w:lang w:val="en-US" w:eastAsia="zh-CN"/>
              </w:rPr>
              <w:t>月</w:t>
            </w:r>
            <w:r>
              <w:rPr>
                <w:rFonts w:hint="eastAsia"/>
                <w:kern w:val="0"/>
                <w:szCs w:val="21"/>
                <w:highlight w:val="none"/>
              </w:rPr>
              <w:t>将各村收支情况上传网站，</w:t>
            </w:r>
            <w:r>
              <w:rPr>
                <w:rFonts w:hint="eastAsia"/>
                <w:kern w:val="0"/>
                <w:szCs w:val="21"/>
                <w:highlight w:val="none"/>
                <w:lang w:val="en-US" w:eastAsia="zh-CN"/>
              </w:rPr>
              <w:t>上传率达到100%，</w:t>
            </w:r>
            <w:r>
              <w:rPr>
                <w:rFonts w:hint="eastAsia"/>
                <w:kern w:val="0"/>
                <w:szCs w:val="21"/>
                <w:highlight w:val="none"/>
              </w:rPr>
              <w:t>加强对村级账务的监管力度。</w:t>
            </w:r>
          </w:p>
          <w:p>
            <w:pPr>
              <w:keepNext w:val="0"/>
              <w:keepLines w:val="0"/>
              <w:pageBreakBefore w:val="0"/>
              <w:widowControl/>
              <w:kinsoku/>
              <w:wordWrap/>
              <w:overflowPunct/>
              <w:topLinePunct w:val="0"/>
              <w:autoSpaceDE/>
              <w:autoSpaceDN/>
              <w:bidi w:val="0"/>
              <w:adjustRightInd/>
              <w:snapToGrid/>
              <w:spacing w:line="480" w:lineRule="exact"/>
              <w:ind w:firstLine="420" w:firstLineChars="200"/>
              <w:textAlignment w:val="auto"/>
              <w:rPr>
                <w:rFonts w:hint="eastAsia" w:ascii="仿宋_GB2312" w:eastAsia="仿宋_GB2312"/>
                <w:sz w:val="32"/>
                <w:szCs w:val="32"/>
                <w:highlight w:val="none"/>
              </w:rPr>
            </w:pPr>
            <w:r>
              <w:rPr>
                <w:rFonts w:hint="eastAsia"/>
                <w:highlight w:val="none"/>
              </w:rPr>
              <w:t xml:space="preserve"> </w:t>
            </w:r>
            <w:r>
              <w:rPr>
                <w:highlight w:val="none"/>
              </w:rPr>
              <w:t>3、民政工作。救灾救济款发放及时、到位，</w:t>
            </w:r>
            <w:r>
              <w:rPr>
                <w:rFonts w:hint="eastAsia"/>
                <w:highlight w:val="none"/>
              </w:rPr>
              <w:t>杜绝</w:t>
            </w:r>
            <w:r>
              <w:rPr>
                <w:highlight w:val="none"/>
              </w:rPr>
              <w:t>贪占挪用现象；建立重点优抚对象优抚资金补助发放电子档案，全部由县财政局直接发放到优抚对象手中；退伍之家办公室，做到制度上墙，建立相关台账。</w:t>
            </w:r>
            <w:r>
              <w:rPr>
                <w:rFonts w:hint="eastAsia" w:asciiTheme="minorEastAsia" w:hAnsiTheme="minorEastAsia" w:eastAsiaTheme="minorEastAsia" w:cstheme="minorEastAsia"/>
                <w:sz w:val="21"/>
                <w:szCs w:val="21"/>
                <w:highlight w:val="none"/>
              </w:rPr>
              <w:t>进一步巩固农村低保工作，在应保尽保的基础上,关注新的困难家庭,经调查符合享受低保政策有18户33人，现已申报资料。现在全乡共有373户、688人享受农村最低生活保障（其中社会保障</w:t>
            </w:r>
            <w:r>
              <w:rPr>
                <w:rFonts w:hint="eastAsia" w:asciiTheme="minorEastAsia" w:hAnsiTheme="minorEastAsia" w:eastAsiaTheme="minorEastAsia" w:cstheme="minorEastAsia"/>
                <w:color w:val="333333"/>
                <w:kern w:val="0"/>
                <w:sz w:val="21"/>
                <w:szCs w:val="21"/>
                <w:highlight w:val="none"/>
              </w:rPr>
              <w:t>兜</w:t>
            </w:r>
            <w:r>
              <w:rPr>
                <w:rFonts w:hint="eastAsia" w:asciiTheme="minorEastAsia" w:hAnsiTheme="minorEastAsia" w:eastAsiaTheme="minorEastAsia" w:cstheme="minorEastAsia"/>
                <w:sz w:val="21"/>
                <w:szCs w:val="21"/>
                <w:highlight w:val="none"/>
              </w:rPr>
              <w:t>底38户，84人）。</w:t>
            </w:r>
          </w:p>
          <w:p>
            <w:pPr>
              <w:keepNext w:val="0"/>
              <w:keepLines w:val="0"/>
              <w:pageBreakBefore w:val="0"/>
              <w:widowControl/>
              <w:kinsoku/>
              <w:wordWrap/>
              <w:overflowPunct/>
              <w:topLinePunct w:val="0"/>
              <w:autoSpaceDE/>
              <w:autoSpaceDN/>
              <w:bidi w:val="0"/>
              <w:adjustRightInd/>
              <w:snapToGrid/>
              <w:spacing w:line="480" w:lineRule="exact"/>
              <w:ind w:firstLine="420" w:firstLineChars="200"/>
              <w:textAlignment w:val="auto"/>
              <w:rPr>
                <w:rFonts w:hint="eastAsia"/>
                <w:highlight w:val="none"/>
                <w:lang w:val="en-US" w:eastAsia="zh-CN"/>
              </w:rPr>
            </w:pPr>
            <w:r>
              <w:rPr>
                <w:highlight w:val="none"/>
              </w:rPr>
              <w:t>4、城乡养老保险工作。</w:t>
            </w:r>
            <w:r>
              <w:rPr>
                <w:rFonts w:hint="eastAsia"/>
                <w:highlight w:val="none"/>
                <w:lang w:eastAsia="zh-CN"/>
              </w:rPr>
              <w:t>全年城乡居民养老保险参保人员</w:t>
            </w:r>
            <w:r>
              <w:rPr>
                <w:rFonts w:hint="eastAsia"/>
                <w:highlight w:val="none"/>
                <w:lang w:val="en-US" w:eastAsia="zh-CN"/>
              </w:rPr>
              <w:t>1421人，</w:t>
            </w:r>
            <w:r>
              <w:rPr>
                <w:rFonts w:hint="eastAsia" w:ascii="Calibri" w:hAnsi="Calibri" w:eastAsia="宋体" w:cs="Times New Roman"/>
                <w:highlight w:val="none"/>
                <w:lang w:val="en-US" w:eastAsia="zh-CN"/>
              </w:rPr>
              <w:t>确保贫困人口参保率达到100%。</w:t>
            </w:r>
            <w:r>
              <w:rPr>
                <w:rFonts w:hint="eastAsia"/>
                <w:highlight w:val="none"/>
                <w:lang w:eastAsia="zh-CN"/>
              </w:rPr>
              <w:t>同时，全年</w:t>
            </w:r>
            <w:r>
              <w:rPr>
                <w:rFonts w:hint="eastAsia"/>
                <w:highlight w:val="none"/>
                <w:lang w:val="en-US" w:eastAsia="zh-CN"/>
              </w:rPr>
              <w:t>预计</w:t>
            </w:r>
            <w:r>
              <w:rPr>
                <w:rFonts w:hint="eastAsia"/>
                <w:highlight w:val="none"/>
                <w:lang w:eastAsia="zh-CN"/>
              </w:rPr>
              <w:t>新增就业人数</w:t>
            </w:r>
            <w:r>
              <w:rPr>
                <w:rFonts w:hint="eastAsia"/>
                <w:highlight w:val="none"/>
                <w:lang w:val="en-US" w:eastAsia="zh-CN"/>
              </w:rPr>
              <w:t>100人以上，实现再就业25人，困难对象就业4人。</w:t>
            </w:r>
          </w:p>
          <w:p>
            <w:pPr>
              <w:keepNext w:val="0"/>
              <w:keepLines w:val="0"/>
              <w:pageBreakBefore w:val="0"/>
              <w:widowControl/>
              <w:kinsoku/>
              <w:wordWrap/>
              <w:overflowPunct/>
              <w:topLinePunct w:val="0"/>
              <w:autoSpaceDE/>
              <w:autoSpaceDN/>
              <w:bidi w:val="0"/>
              <w:adjustRightInd/>
              <w:snapToGrid/>
              <w:spacing w:line="480" w:lineRule="exact"/>
              <w:ind w:firstLine="420"/>
              <w:textAlignment w:val="auto"/>
              <w:rPr>
                <w:rFonts w:hint="default" w:eastAsiaTheme="minorEastAsia"/>
                <w:highlight w:val="none"/>
                <w:lang w:val="en-US" w:eastAsia="zh-CN"/>
              </w:rPr>
            </w:pPr>
            <w:r>
              <w:rPr>
                <w:rFonts w:hint="eastAsia"/>
                <w:highlight w:val="none"/>
              </w:rPr>
              <w:t xml:space="preserve"> </w:t>
            </w:r>
            <w:r>
              <w:rPr>
                <w:highlight w:val="none"/>
              </w:rPr>
              <w:t>5、教育发展。落实党政议教与联系制度，班子成员联系到全乡</w:t>
            </w:r>
            <w:r>
              <w:rPr>
                <w:rFonts w:hint="eastAsia"/>
                <w:highlight w:val="none"/>
                <w:lang w:val="en-US" w:eastAsia="zh-CN"/>
              </w:rPr>
              <w:t>所有</w:t>
            </w:r>
            <w:r>
              <w:rPr>
                <w:highlight w:val="none"/>
              </w:rPr>
              <w:t>中、小学及幼儿园；开展“安全校园”创建活动；开展校车安全检查；开展“两项督导评估”及教育强乡工作；开展“两基”成果巩固提高工作</w:t>
            </w:r>
            <w:r>
              <w:rPr>
                <w:rFonts w:hint="eastAsia"/>
                <w:highlight w:val="none"/>
                <w:lang w:eastAsia="zh-CN"/>
              </w:rPr>
              <w:t>，</w:t>
            </w:r>
            <w:r>
              <w:rPr>
                <w:rFonts w:hint="eastAsia"/>
                <w:highlight w:val="none"/>
                <w:lang w:val="en-US" w:eastAsia="zh-CN"/>
              </w:rPr>
              <w:t>确保无一起安全事故发生。</w:t>
            </w:r>
          </w:p>
          <w:p>
            <w:pPr>
              <w:keepNext w:val="0"/>
              <w:keepLines w:val="0"/>
              <w:pageBreakBefore w:val="0"/>
              <w:widowControl/>
              <w:kinsoku/>
              <w:wordWrap/>
              <w:overflowPunct/>
              <w:topLinePunct w:val="0"/>
              <w:autoSpaceDE/>
              <w:autoSpaceDN/>
              <w:bidi w:val="0"/>
              <w:adjustRightInd/>
              <w:snapToGrid/>
              <w:spacing w:line="480" w:lineRule="exact"/>
              <w:ind w:firstLine="405"/>
              <w:jc w:val="left"/>
              <w:textAlignment w:val="auto"/>
              <w:rPr>
                <w:kern w:val="0"/>
                <w:szCs w:val="21"/>
                <w:highlight w:val="none"/>
              </w:rPr>
            </w:pPr>
            <w:r>
              <w:rPr>
                <w:highlight w:val="none"/>
              </w:rPr>
              <w:t>6、卫</w:t>
            </w:r>
            <w:r>
              <w:rPr>
                <w:rFonts w:hint="eastAsia"/>
                <w:highlight w:val="none"/>
                <w:lang w:val="en-US" w:eastAsia="zh-CN"/>
              </w:rPr>
              <w:t>计</w:t>
            </w:r>
            <w:r>
              <w:rPr>
                <w:highlight w:val="none"/>
              </w:rPr>
              <w:t>工作。</w:t>
            </w:r>
            <w:r>
              <w:rPr>
                <w:rFonts w:hint="eastAsia" w:ascii="Calibri" w:hAnsi="Calibri" w:eastAsia="宋体" w:cs="Times New Roman"/>
                <w:highlight w:val="none"/>
              </w:rPr>
              <w:t>进一步加强村卫生室建设，卫生基层基础工作得到进一步夯实；加强妇幼保健、疾病控制和传染病的预防等工作；加大食品、药品的监管力度；建立突发公共卫生事件预案，</w:t>
            </w:r>
            <w:r>
              <w:rPr>
                <w:rFonts w:hint="eastAsia" w:ascii="Calibri" w:hAnsi="Calibri" w:eastAsia="宋体" w:cs="Times New Roman"/>
                <w:highlight w:val="none"/>
                <w:lang w:val="en-US" w:eastAsia="zh-CN"/>
              </w:rPr>
              <w:t>确保</w:t>
            </w:r>
            <w:r>
              <w:rPr>
                <w:rFonts w:hint="eastAsia" w:ascii="Calibri" w:hAnsi="Calibri" w:eastAsia="宋体" w:cs="Times New Roman"/>
                <w:highlight w:val="none"/>
              </w:rPr>
              <w:t>全年没有发生一起公共事件。</w:t>
            </w:r>
            <w:r>
              <w:rPr>
                <w:rFonts w:hint="eastAsia" w:ascii="Calibri" w:hAnsi="Calibri" w:eastAsia="宋体" w:cs="Times New Roman"/>
                <w:highlight w:val="none"/>
                <w:lang w:val="en-US" w:eastAsia="zh-CN"/>
              </w:rPr>
              <w:t>全年预计</w:t>
            </w:r>
            <w:r>
              <w:rPr>
                <w:rFonts w:ascii="Calibri" w:hAnsi="Calibri" w:eastAsia="宋体" w:cs="Times New Roman"/>
                <w:highlight w:val="none"/>
              </w:rPr>
              <w:t>完成无偿献</w:t>
            </w:r>
            <w:r>
              <w:rPr>
                <w:rFonts w:hint="eastAsia" w:ascii="Calibri" w:hAnsi="Calibri" w:eastAsia="宋体" w:cs="Times New Roman"/>
                <w:highlight w:val="none"/>
              </w:rPr>
              <w:t>血</w:t>
            </w:r>
            <w:r>
              <w:rPr>
                <w:rFonts w:ascii="Calibri" w:hAnsi="Calibri" w:eastAsia="宋体" w:cs="Times New Roman"/>
                <w:highlight w:val="none"/>
              </w:rPr>
              <w:t>任务</w:t>
            </w:r>
            <w:r>
              <w:rPr>
                <w:rFonts w:hint="eastAsia" w:ascii="Calibri" w:hAnsi="Calibri" w:eastAsia="宋体" w:cs="Times New Roman"/>
                <w:highlight w:val="none"/>
                <w:lang w:val="en-US" w:eastAsia="zh-CN"/>
              </w:rPr>
              <w:t>25</w:t>
            </w:r>
            <w:r>
              <w:rPr>
                <w:rFonts w:hint="eastAsia" w:ascii="Calibri" w:hAnsi="Calibri" w:eastAsia="宋体" w:cs="Times New Roman"/>
                <w:highlight w:val="none"/>
              </w:rPr>
              <w:t>人</w:t>
            </w:r>
            <w:r>
              <w:rPr>
                <w:rFonts w:ascii="Calibri" w:hAnsi="Calibri" w:eastAsia="宋体" w:cs="Times New Roman"/>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3" w:type="dxa"/>
            <w:vMerge w:val="continue"/>
            <w:vAlign w:val="center"/>
          </w:tcPr>
          <w:p>
            <w:pPr>
              <w:widowControl/>
              <w:jc w:val="center"/>
              <w:rPr>
                <w:rFonts w:ascii="宋体" w:hAnsi="宋体"/>
                <w:kern w:val="0"/>
                <w:szCs w:val="21"/>
                <w:highlight w:val="none"/>
              </w:rPr>
            </w:pPr>
          </w:p>
        </w:tc>
        <w:tc>
          <w:tcPr>
            <w:tcW w:w="1860" w:type="dxa"/>
            <w:gridSpan w:val="2"/>
            <w:vMerge w:val="continue"/>
            <w:vAlign w:val="center"/>
          </w:tcPr>
          <w:p>
            <w:pPr>
              <w:widowControl/>
              <w:jc w:val="left"/>
              <w:rPr>
                <w:kern w:val="0"/>
                <w:szCs w:val="21"/>
                <w:highlight w:val="none"/>
              </w:rPr>
            </w:pPr>
          </w:p>
        </w:tc>
        <w:tc>
          <w:tcPr>
            <w:tcW w:w="6497" w:type="dxa"/>
            <w:gridSpan w:val="5"/>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kern w:val="0"/>
                <w:szCs w:val="21"/>
                <w:highlight w:val="none"/>
              </w:rPr>
            </w:pPr>
            <w:r>
              <w:rPr>
                <w:kern w:val="0"/>
                <w:szCs w:val="21"/>
                <w:highlight w:val="none"/>
              </w:rPr>
              <w:t>效益指标</w:t>
            </w:r>
            <w:r>
              <w:rPr>
                <w:rFonts w:hint="eastAsia"/>
                <w:kern w:val="0"/>
                <w:szCs w:val="21"/>
                <w:highlight w:val="none"/>
              </w:rPr>
              <w:t>：</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Calibri" w:hAnsi="Calibri" w:eastAsia="宋体" w:cs="Times New Roman"/>
                <w:kern w:val="0"/>
                <w:szCs w:val="21"/>
                <w:highlight w:val="none"/>
              </w:rPr>
            </w:pPr>
            <w:r>
              <w:rPr>
                <w:rFonts w:hint="eastAsia" w:ascii="Calibri" w:hAnsi="Calibri" w:eastAsia="宋体" w:cs="Times New Roman"/>
                <w:kern w:val="0"/>
                <w:szCs w:val="21"/>
                <w:highlight w:val="none"/>
              </w:rPr>
              <w:t>1、社会效益指标：各项惠农政策的贯彻落实，确保了更多群众共享改革发展成果。</w:t>
            </w:r>
          </w:p>
          <w:p>
            <w:pPr>
              <w:keepNext w:val="0"/>
              <w:keepLines w:val="0"/>
              <w:pageBreakBefore w:val="0"/>
              <w:widowControl/>
              <w:numPr>
                <w:ilvl w:val="0"/>
                <w:numId w:val="3"/>
              </w:numPr>
              <w:kinsoku/>
              <w:wordWrap/>
              <w:overflowPunct/>
              <w:topLinePunct w:val="0"/>
              <w:autoSpaceDE/>
              <w:autoSpaceDN/>
              <w:bidi w:val="0"/>
              <w:adjustRightInd/>
              <w:snapToGrid/>
              <w:spacing w:line="480" w:lineRule="exact"/>
              <w:jc w:val="left"/>
              <w:textAlignment w:val="auto"/>
              <w:rPr>
                <w:rFonts w:hint="eastAsia" w:ascii="Calibri" w:hAnsi="Calibri" w:eastAsia="宋体" w:cs="Times New Roman"/>
                <w:kern w:val="0"/>
                <w:szCs w:val="21"/>
                <w:highlight w:val="none"/>
              </w:rPr>
            </w:pPr>
            <w:r>
              <w:rPr>
                <w:rFonts w:hint="eastAsia" w:ascii="Calibri" w:hAnsi="Calibri" w:eastAsia="宋体" w:cs="Times New Roman"/>
                <w:kern w:val="0"/>
                <w:szCs w:val="21"/>
                <w:highlight w:val="none"/>
              </w:rPr>
              <w:t>社会效益指标：兜底扶贫，保障民生，促进社会和谐发展。</w:t>
            </w:r>
          </w:p>
          <w:p>
            <w:pPr>
              <w:keepNext w:val="0"/>
              <w:keepLines w:val="0"/>
              <w:pageBreakBefore w:val="0"/>
              <w:widowControl/>
              <w:numPr>
                <w:ilvl w:val="0"/>
                <w:numId w:val="3"/>
              </w:numPr>
              <w:kinsoku/>
              <w:wordWrap/>
              <w:overflowPunct/>
              <w:topLinePunct w:val="0"/>
              <w:autoSpaceDE/>
              <w:autoSpaceDN/>
              <w:bidi w:val="0"/>
              <w:adjustRightInd/>
              <w:snapToGrid/>
              <w:spacing w:line="480" w:lineRule="exact"/>
              <w:jc w:val="left"/>
              <w:textAlignment w:val="auto"/>
              <w:rPr>
                <w:rFonts w:hint="eastAsia" w:ascii="Calibri" w:hAnsi="Calibri" w:eastAsia="宋体" w:cs="Times New Roman"/>
                <w:kern w:val="0"/>
                <w:szCs w:val="21"/>
                <w:highlight w:val="none"/>
              </w:rPr>
            </w:pPr>
            <w:r>
              <w:rPr>
                <w:rFonts w:hint="eastAsia" w:ascii="Calibri" w:hAnsi="Calibri" w:eastAsia="宋体" w:cs="Times New Roman"/>
                <w:kern w:val="0"/>
                <w:szCs w:val="21"/>
                <w:highlight w:val="none"/>
              </w:rPr>
              <w:t>社会效益指标：大力发展教育事业，加大教育投入，加快人才培养，不断提高人口素质。</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Calibri" w:hAnsi="Calibri" w:eastAsia="宋体" w:cs="Times New Roman"/>
                <w:kern w:val="0"/>
                <w:szCs w:val="21"/>
                <w:highlight w:val="none"/>
              </w:rPr>
            </w:pPr>
            <w:r>
              <w:rPr>
                <w:rFonts w:hint="eastAsia" w:ascii="Calibri" w:hAnsi="Calibri" w:eastAsia="宋体" w:cs="Times New Roman"/>
                <w:kern w:val="0"/>
                <w:szCs w:val="21"/>
                <w:highlight w:val="none"/>
              </w:rPr>
              <w:t>4、社会效益指标：农村危房改造工作深化推进，民政保障体系进一步健全。</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default" w:ascii="Calibri" w:hAnsi="Calibri" w:eastAsia="宋体" w:cs="Times New Roman"/>
                <w:kern w:val="0"/>
                <w:szCs w:val="21"/>
                <w:highlight w:val="none"/>
                <w:lang w:val="en-US" w:eastAsia="zh-CN"/>
              </w:rPr>
            </w:pPr>
            <w:r>
              <w:rPr>
                <w:rFonts w:hint="eastAsia" w:ascii="Calibri" w:hAnsi="Calibri" w:eastAsia="宋体" w:cs="Times New Roman"/>
                <w:kern w:val="0"/>
                <w:szCs w:val="21"/>
                <w:highlight w:val="none"/>
              </w:rPr>
              <w:t>5、社会效益指标：</w:t>
            </w:r>
            <w:r>
              <w:rPr>
                <w:rFonts w:ascii="Calibri" w:hAnsi="Calibri" w:eastAsia="宋体" w:cs="Times New Roman"/>
                <w:highlight w:val="none"/>
              </w:rPr>
              <w:t>城乡养老保险工作</w:t>
            </w:r>
            <w:r>
              <w:rPr>
                <w:rFonts w:hint="eastAsia" w:ascii="Calibri" w:hAnsi="Calibri" w:eastAsia="宋体" w:cs="Times New Roman"/>
                <w:highlight w:val="none"/>
              </w:rPr>
              <w:t>和新农合工作积极推广，致力保障农村群众养老、医疗权益。</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kern w:val="0"/>
                <w:szCs w:val="21"/>
                <w:highlight w:val="none"/>
              </w:rPr>
            </w:pPr>
            <w:r>
              <w:rPr>
                <w:rFonts w:hint="eastAsia" w:ascii="Calibri" w:hAnsi="Calibri" w:eastAsia="宋体" w:cs="Times New Roman"/>
                <w:kern w:val="0"/>
                <w:szCs w:val="21"/>
                <w:highlight w:val="none"/>
              </w:rPr>
              <w:t>6、可持续影响指标：社会广大群众对改善民生工作认识、理解和支持，民生改善工作有重大突破，并建立完善配套长效机制，实现改善民生工作长远发展。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283" w:type="dxa"/>
            <w:vMerge w:val="continue"/>
            <w:vAlign w:val="center"/>
          </w:tcPr>
          <w:p>
            <w:pPr>
              <w:widowControl/>
              <w:jc w:val="center"/>
              <w:rPr>
                <w:rFonts w:ascii="宋体" w:hAnsi="宋体"/>
                <w:kern w:val="0"/>
                <w:szCs w:val="21"/>
                <w:highlight w:val="none"/>
              </w:rPr>
            </w:pPr>
          </w:p>
        </w:tc>
        <w:tc>
          <w:tcPr>
            <w:tcW w:w="1860" w:type="dxa"/>
            <w:gridSpan w:val="2"/>
            <w:vMerge w:val="restart"/>
            <w:vAlign w:val="center"/>
          </w:tcPr>
          <w:p>
            <w:pPr>
              <w:widowControl/>
              <w:jc w:val="left"/>
              <w:rPr>
                <w:kern w:val="0"/>
                <w:szCs w:val="21"/>
                <w:highlight w:val="none"/>
              </w:rPr>
            </w:pPr>
            <w:r>
              <w:rPr>
                <w:rFonts w:hint="eastAsia"/>
                <w:kern w:val="0"/>
                <w:szCs w:val="21"/>
                <w:highlight w:val="none"/>
              </w:rPr>
              <w:t>绩效目标内容4：</w:t>
            </w:r>
          </w:p>
          <w:p>
            <w:pPr>
              <w:widowControl/>
              <w:jc w:val="left"/>
              <w:rPr>
                <w:kern w:val="0"/>
                <w:szCs w:val="21"/>
                <w:highlight w:val="none"/>
              </w:rPr>
            </w:pPr>
            <w:r>
              <w:rPr>
                <w:highlight w:val="none"/>
              </w:rPr>
              <w:t>社会管理</w:t>
            </w:r>
          </w:p>
        </w:tc>
        <w:tc>
          <w:tcPr>
            <w:tcW w:w="6497" w:type="dxa"/>
            <w:gridSpan w:val="5"/>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eastAsia"/>
                <w:kern w:val="0"/>
                <w:szCs w:val="21"/>
                <w:highlight w:val="none"/>
              </w:rPr>
            </w:pPr>
            <w:r>
              <w:rPr>
                <w:kern w:val="0"/>
                <w:szCs w:val="21"/>
                <w:highlight w:val="none"/>
              </w:rPr>
              <w:t>产出指标</w:t>
            </w:r>
            <w:r>
              <w:rPr>
                <w:rFonts w:hint="eastAsia"/>
                <w:kern w:val="0"/>
                <w:szCs w:val="21"/>
                <w:highlight w:val="none"/>
              </w:rPr>
              <w:t>：</w:t>
            </w:r>
          </w:p>
          <w:p>
            <w:pPr>
              <w:keepNext w:val="0"/>
              <w:keepLines w:val="0"/>
              <w:pageBreakBefore w:val="0"/>
              <w:kinsoku/>
              <w:wordWrap/>
              <w:overflowPunct/>
              <w:topLinePunct w:val="0"/>
              <w:autoSpaceDE/>
              <w:autoSpaceDN/>
              <w:bidi w:val="0"/>
              <w:adjustRightInd/>
              <w:snapToGrid/>
              <w:spacing w:line="480" w:lineRule="exact"/>
              <w:textAlignment w:val="auto"/>
              <w:rPr>
                <w:highlight w:val="none"/>
              </w:rPr>
            </w:pPr>
            <w:r>
              <w:rPr>
                <w:highlight w:val="none"/>
              </w:rPr>
              <w:t>1、人大工作。人大主席组织开展人大日常工作，重点为开展</w:t>
            </w:r>
            <w:r>
              <w:rPr>
                <w:rFonts w:hint="eastAsia"/>
                <w:highlight w:val="none"/>
                <w:lang w:eastAsia="zh-CN"/>
              </w:rPr>
              <w:t>乡</w:t>
            </w:r>
            <w:r>
              <w:rPr>
                <w:highlight w:val="none"/>
              </w:rPr>
              <w:t>人大代表学习视察调研活动，组织</w:t>
            </w:r>
            <w:r>
              <w:rPr>
                <w:rFonts w:hint="eastAsia"/>
                <w:highlight w:val="none"/>
                <w:lang w:eastAsia="zh-CN"/>
              </w:rPr>
              <w:t>乡</w:t>
            </w:r>
            <w:r>
              <w:rPr>
                <w:highlight w:val="none"/>
              </w:rPr>
              <w:t>人大代表积极参与</w:t>
            </w:r>
            <w:r>
              <w:rPr>
                <w:rFonts w:hint="eastAsia"/>
                <w:highlight w:val="none"/>
                <w:lang w:eastAsia="zh-CN"/>
              </w:rPr>
              <w:t>乡</w:t>
            </w:r>
            <w:r>
              <w:rPr>
                <w:highlight w:val="none"/>
              </w:rPr>
              <w:t>议教工作及重点项目推进工作</w:t>
            </w:r>
            <w:r>
              <w:rPr>
                <w:rFonts w:hint="eastAsia"/>
                <w:highlight w:val="none"/>
              </w:rPr>
              <w:t>；乡人大代表联系群众工作办公室认真办理乡人大代表建议批评和意见，通过分解和督办，做到代表建议意见答复率100%，满意率90%以上</w:t>
            </w:r>
          </w:p>
          <w:p>
            <w:pPr>
              <w:keepNext w:val="0"/>
              <w:keepLines w:val="0"/>
              <w:pageBreakBefore w:val="0"/>
              <w:kinsoku/>
              <w:wordWrap/>
              <w:overflowPunct/>
              <w:topLinePunct w:val="0"/>
              <w:autoSpaceDE/>
              <w:autoSpaceDN/>
              <w:bidi w:val="0"/>
              <w:adjustRightInd/>
              <w:snapToGrid/>
              <w:spacing w:line="480" w:lineRule="exact"/>
              <w:textAlignment w:val="auto"/>
              <w:rPr>
                <w:highlight w:val="none"/>
              </w:rPr>
            </w:pPr>
            <w:r>
              <w:rPr>
                <w:rFonts w:hint="eastAsia"/>
                <w:highlight w:val="none"/>
              </w:rPr>
              <w:t xml:space="preserve">    </w:t>
            </w:r>
            <w:r>
              <w:rPr>
                <w:highlight w:val="none"/>
              </w:rPr>
              <w:t>2、政协工作。政协联工委主任组织开展政协日常工作，重点开展我</w:t>
            </w:r>
            <w:r>
              <w:rPr>
                <w:rFonts w:hint="eastAsia"/>
                <w:highlight w:val="none"/>
                <w:lang w:val="en-US" w:eastAsia="zh-CN"/>
              </w:rPr>
              <w:t>乡</w:t>
            </w:r>
            <w:r>
              <w:rPr>
                <w:highlight w:val="none"/>
              </w:rPr>
              <w:t>社情民意调查，组织</w:t>
            </w:r>
            <w:r>
              <w:rPr>
                <w:rFonts w:hint="eastAsia"/>
                <w:highlight w:val="none"/>
                <w:lang w:val="en-US" w:eastAsia="zh-CN"/>
              </w:rPr>
              <w:t>乡</w:t>
            </w:r>
            <w:r>
              <w:rPr>
                <w:highlight w:val="none"/>
              </w:rPr>
              <w:t>政协委员积极参与重点项目推进工作</w:t>
            </w:r>
            <w:r>
              <w:rPr>
                <w:rFonts w:hint="eastAsia"/>
                <w:highlight w:val="none"/>
              </w:rPr>
              <w:t>，向乡党委、政府就进行农业产业结构调整、新型农村合作医疗、农村敬老院建设等几个方面提出了建议，被乡党委、政府采纳</w:t>
            </w:r>
            <w:r>
              <w:rPr>
                <w:highlight w:val="none"/>
              </w:rPr>
              <w:t>。</w:t>
            </w:r>
          </w:p>
          <w:p>
            <w:pPr>
              <w:keepNext w:val="0"/>
              <w:keepLines w:val="0"/>
              <w:pageBreakBefore w:val="0"/>
              <w:kinsoku/>
              <w:wordWrap/>
              <w:overflowPunct/>
              <w:topLinePunct w:val="0"/>
              <w:autoSpaceDE/>
              <w:autoSpaceDN/>
              <w:bidi w:val="0"/>
              <w:adjustRightInd/>
              <w:snapToGrid/>
              <w:spacing w:line="480" w:lineRule="exact"/>
              <w:textAlignment w:val="auto"/>
              <w:rPr>
                <w:highlight w:val="none"/>
              </w:rPr>
            </w:pPr>
            <w:r>
              <w:rPr>
                <w:rFonts w:hint="eastAsia"/>
                <w:highlight w:val="none"/>
              </w:rPr>
              <w:t xml:space="preserve">    </w:t>
            </w:r>
            <w:r>
              <w:rPr>
                <w:highlight w:val="none"/>
              </w:rPr>
              <w:t>3、政务公开和电子政务。及时在政府门户网站上更新政务信息，公开办事程序及流程，做到制度上墙，规范有序；公开站所政务平台，办事指南、收费公示栏</w:t>
            </w:r>
            <w:r>
              <w:rPr>
                <w:rFonts w:hint="eastAsia"/>
                <w:highlight w:val="none"/>
              </w:rPr>
              <w:t>；</w:t>
            </w:r>
            <w:r>
              <w:rPr>
                <w:highlight w:val="none"/>
              </w:rPr>
              <w:t>及时更新内容</w:t>
            </w:r>
            <w:r>
              <w:rPr>
                <w:rFonts w:hint="eastAsia"/>
                <w:highlight w:val="none"/>
              </w:rPr>
              <w:t>及时在</w:t>
            </w:r>
            <w:r>
              <w:rPr>
                <w:highlight w:val="none"/>
              </w:rPr>
              <w:t>“</w:t>
            </w:r>
            <w:r>
              <w:rPr>
                <w:rFonts w:hint="eastAsia"/>
                <w:highlight w:val="none"/>
              </w:rPr>
              <w:t>互联网+监督</w:t>
            </w:r>
            <w:r>
              <w:rPr>
                <w:highlight w:val="none"/>
              </w:rPr>
              <w:t>”对村级财务进行公开；率先</w:t>
            </w:r>
            <w:r>
              <w:rPr>
                <w:rFonts w:hint="eastAsia"/>
                <w:highlight w:val="none"/>
              </w:rPr>
              <w:t>在</w:t>
            </w:r>
            <w:r>
              <w:rPr>
                <w:highlight w:val="none"/>
              </w:rPr>
              <w:t>“阳光三农网”对村级财务、村务、党务进行公开。</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highlight w:val="none"/>
              </w:rPr>
            </w:pPr>
            <w:r>
              <w:rPr>
                <w:highlight w:val="none"/>
              </w:rPr>
              <w:t>4、信访维稳。本年</w:t>
            </w:r>
            <w:r>
              <w:rPr>
                <w:rFonts w:hint="eastAsia"/>
                <w:highlight w:val="none"/>
              </w:rPr>
              <w:t>防止</w:t>
            </w:r>
            <w:r>
              <w:rPr>
                <w:highlight w:val="none"/>
              </w:rPr>
              <w:t>非正常赴省进京上访件，成立乡应急分队，全年分时段、重点区域进行巡逻，增加群众的安全感，调处各类矛盾纠纷，处理重大疑难群体性事件，维护</w:t>
            </w:r>
            <w:r>
              <w:rPr>
                <w:rFonts w:hint="eastAsia"/>
                <w:highlight w:val="none"/>
              </w:rPr>
              <w:t>我</w:t>
            </w:r>
            <w:r>
              <w:rPr>
                <w:rFonts w:hint="eastAsia"/>
                <w:highlight w:val="none"/>
                <w:lang w:eastAsia="zh-CN"/>
              </w:rPr>
              <w:t>乡</w:t>
            </w:r>
            <w:r>
              <w:rPr>
                <w:highlight w:val="none"/>
              </w:rPr>
              <w:t>社会经济稳定，人民安居乐业。</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ascii="Calibri" w:hAnsi="Calibri" w:eastAsia="宋体" w:cs="Times New Roman"/>
                <w:highlight w:val="none"/>
              </w:rPr>
            </w:pPr>
            <w:r>
              <w:rPr>
                <w:rFonts w:hint="eastAsia"/>
                <w:highlight w:val="none"/>
              </w:rPr>
              <w:t>5</w:t>
            </w:r>
            <w:r>
              <w:rPr>
                <w:rFonts w:ascii="Calibri" w:hAnsi="Calibri" w:eastAsia="宋体" w:cs="Times New Roman"/>
                <w:highlight w:val="none"/>
              </w:rPr>
              <w:t>、统战工作。按要求开展党外干部、非公经济人士统战及民族宗教工作。</w:t>
            </w:r>
            <w:r>
              <w:rPr>
                <w:rFonts w:hint="eastAsia" w:ascii="Calibri" w:hAnsi="Calibri" w:eastAsia="宋体" w:cs="Times New Roman"/>
                <w:highlight w:val="none"/>
              </w:rPr>
              <w:t>此外，利用工商联侨联优势，积极为民排忧解难，通过侨情调查，进一步摸清我乡的侨情，密切了侨眷、侨属的关系。</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rFonts w:hint="eastAsia"/>
                <w:highlight w:val="none"/>
              </w:rPr>
            </w:pPr>
            <w:r>
              <w:rPr>
                <w:rFonts w:hint="eastAsia"/>
                <w:highlight w:val="none"/>
              </w:rPr>
              <w:t>6</w:t>
            </w:r>
            <w:r>
              <w:rPr>
                <w:rFonts w:hint="eastAsia" w:ascii="Calibri" w:hAnsi="Calibri" w:eastAsia="宋体" w:cs="Times New Roman"/>
                <w:highlight w:val="none"/>
              </w:rPr>
              <w:t>、人武工作。对辖区进行民兵整组，</w:t>
            </w:r>
            <w:r>
              <w:rPr>
                <w:rFonts w:hint="eastAsia" w:ascii="Calibri" w:hAnsi="Calibri" w:eastAsia="宋体" w:cs="Times New Roman"/>
                <w:highlight w:val="none"/>
                <w:lang w:val="en-US" w:eastAsia="zh-CN"/>
              </w:rPr>
              <w:t>预计</w:t>
            </w:r>
            <w:r>
              <w:rPr>
                <w:rFonts w:hint="eastAsia" w:ascii="Calibri" w:hAnsi="Calibri" w:eastAsia="宋体" w:cs="Times New Roman"/>
                <w:highlight w:val="none"/>
              </w:rPr>
              <w:t>组织基干民兵进行2次训练，每次为3天，加强村级民兵建设，规范乡级人</w:t>
            </w:r>
            <w:r>
              <w:rPr>
                <w:rFonts w:hint="eastAsia"/>
                <w:highlight w:val="none"/>
              </w:rPr>
              <w:t>武部队建设</w:t>
            </w:r>
            <w:r>
              <w:rPr>
                <w:rFonts w:hint="eastAsia" w:ascii="Calibri" w:hAnsi="Calibri" w:eastAsia="宋体" w:cs="Times New Roman"/>
                <w:highlight w:val="none"/>
              </w:rPr>
              <w:t>。完成征兵入伍工作，完成各项任务。</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highlight w:val="none"/>
              </w:rPr>
            </w:pPr>
            <w:r>
              <w:rPr>
                <w:rFonts w:hint="eastAsia"/>
                <w:highlight w:val="none"/>
              </w:rPr>
              <w:t>7、完成上级</w:t>
            </w:r>
            <w:r>
              <w:rPr>
                <w:highlight w:val="none"/>
              </w:rPr>
              <w:t>交办</w:t>
            </w:r>
            <w:r>
              <w:rPr>
                <w:rFonts w:hint="eastAsia"/>
                <w:highlight w:val="none"/>
              </w:rPr>
              <w:t>事</w:t>
            </w:r>
            <w:r>
              <w:rPr>
                <w:highlight w:val="none"/>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283" w:type="dxa"/>
            <w:vMerge w:val="continue"/>
            <w:vAlign w:val="center"/>
          </w:tcPr>
          <w:p>
            <w:pPr>
              <w:widowControl/>
              <w:jc w:val="center"/>
              <w:rPr>
                <w:rFonts w:ascii="宋体" w:hAnsi="宋体"/>
                <w:kern w:val="0"/>
                <w:szCs w:val="21"/>
                <w:highlight w:val="none"/>
              </w:rPr>
            </w:pPr>
          </w:p>
        </w:tc>
        <w:tc>
          <w:tcPr>
            <w:tcW w:w="1860" w:type="dxa"/>
            <w:gridSpan w:val="2"/>
            <w:vMerge w:val="continue"/>
            <w:vAlign w:val="center"/>
          </w:tcPr>
          <w:p>
            <w:pPr>
              <w:widowControl/>
              <w:jc w:val="left"/>
              <w:rPr>
                <w:kern w:val="0"/>
                <w:szCs w:val="21"/>
                <w:highlight w:val="none"/>
              </w:rPr>
            </w:pPr>
          </w:p>
        </w:tc>
        <w:tc>
          <w:tcPr>
            <w:tcW w:w="6497" w:type="dxa"/>
            <w:gridSpan w:val="5"/>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Calibri" w:hAnsi="Calibri" w:eastAsia="宋体" w:cs="Times New Roman"/>
                <w:kern w:val="0"/>
                <w:szCs w:val="21"/>
                <w:highlight w:val="none"/>
              </w:rPr>
            </w:pPr>
            <w:r>
              <w:rPr>
                <w:kern w:val="0"/>
                <w:szCs w:val="21"/>
                <w:highlight w:val="none"/>
              </w:rPr>
              <w:t>效益指标</w:t>
            </w:r>
            <w:r>
              <w:rPr>
                <w:rFonts w:hint="eastAsia"/>
                <w:kern w:val="0"/>
                <w:szCs w:val="21"/>
                <w:highlight w:val="none"/>
              </w:rPr>
              <w:t>：</w:t>
            </w:r>
            <w:r>
              <w:rPr>
                <w:rFonts w:hint="eastAsia" w:ascii="Calibri" w:hAnsi="Calibri" w:eastAsia="宋体" w:cs="Times New Roman"/>
                <w:kern w:val="0"/>
                <w:szCs w:val="21"/>
                <w:highlight w:val="none"/>
              </w:rPr>
              <w:t>1、社会效益指标：政府各职能部门工作的开展维护了社会秩序、保障了公民的合法权利、营造了良好的社会氛围、切实为百姓办了实事。</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Calibri" w:hAnsi="Calibri" w:eastAsia="宋体" w:cs="Times New Roman"/>
                <w:kern w:val="0"/>
                <w:szCs w:val="21"/>
                <w:highlight w:val="none"/>
              </w:rPr>
            </w:pPr>
            <w:r>
              <w:rPr>
                <w:rFonts w:hint="eastAsia" w:ascii="Calibri" w:hAnsi="Calibri" w:eastAsia="宋体" w:cs="Times New Roman"/>
                <w:kern w:val="0"/>
                <w:szCs w:val="21"/>
                <w:highlight w:val="none"/>
              </w:rPr>
              <w:t>2、社会效益指标：加强社会管理维护了社会的稳定，营造了良好的社会秩序。</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Calibri" w:hAnsi="Calibri" w:eastAsia="宋体" w:cs="Times New Roman"/>
                <w:kern w:val="0"/>
                <w:szCs w:val="21"/>
                <w:highlight w:val="none"/>
              </w:rPr>
            </w:pPr>
            <w:r>
              <w:rPr>
                <w:rFonts w:hint="eastAsia" w:ascii="Calibri" w:hAnsi="Calibri" w:eastAsia="宋体" w:cs="Times New Roman"/>
                <w:kern w:val="0"/>
                <w:szCs w:val="21"/>
                <w:highlight w:val="none"/>
              </w:rPr>
              <w:t>3、社会效益指标：各类信访事件明显下降，人民群众全面支持政府工作及地方经济和社会发展。</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kern w:val="0"/>
                <w:szCs w:val="21"/>
                <w:highlight w:val="none"/>
              </w:rPr>
            </w:pPr>
            <w:r>
              <w:rPr>
                <w:rFonts w:hint="eastAsia" w:ascii="Calibri" w:hAnsi="Calibri" w:eastAsia="宋体" w:cs="Times New Roman"/>
                <w:kern w:val="0"/>
                <w:szCs w:val="21"/>
                <w:highlight w:val="none"/>
              </w:rPr>
              <w:t>4、可持续影响指标：搭建阳光政务平台，推进社会管理体系的长效运行。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283" w:type="dxa"/>
            <w:vMerge w:val="continue"/>
            <w:vAlign w:val="center"/>
          </w:tcPr>
          <w:p>
            <w:pPr>
              <w:widowControl/>
              <w:jc w:val="center"/>
              <w:rPr>
                <w:rFonts w:ascii="宋体" w:hAnsi="宋体"/>
                <w:kern w:val="0"/>
                <w:szCs w:val="21"/>
                <w:highlight w:val="none"/>
              </w:rPr>
            </w:pPr>
          </w:p>
        </w:tc>
        <w:tc>
          <w:tcPr>
            <w:tcW w:w="1860" w:type="dxa"/>
            <w:gridSpan w:val="2"/>
            <w:vMerge w:val="restart"/>
            <w:vAlign w:val="center"/>
          </w:tcPr>
          <w:p>
            <w:pPr>
              <w:widowControl/>
              <w:jc w:val="left"/>
              <w:rPr>
                <w:kern w:val="0"/>
                <w:szCs w:val="21"/>
                <w:highlight w:val="none"/>
              </w:rPr>
            </w:pPr>
            <w:r>
              <w:rPr>
                <w:rFonts w:hint="eastAsia"/>
                <w:kern w:val="0"/>
                <w:szCs w:val="21"/>
                <w:highlight w:val="none"/>
              </w:rPr>
              <w:t>绩效目标内容5：</w:t>
            </w:r>
          </w:p>
          <w:p>
            <w:pPr>
              <w:widowControl/>
              <w:jc w:val="left"/>
              <w:rPr>
                <w:kern w:val="0"/>
                <w:szCs w:val="21"/>
                <w:highlight w:val="none"/>
              </w:rPr>
            </w:pPr>
            <w:r>
              <w:rPr>
                <w:highlight w:val="none"/>
              </w:rPr>
              <w:t>文化</w:t>
            </w:r>
            <w:r>
              <w:rPr>
                <w:rFonts w:hint="eastAsia"/>
                <w:highlight w:val="none"/>
              </w:rPr>
              <w:t>建设</w:t>
            </w:r>
          </w:p>
        </w:tc>
        <w:tc>
          <w:tcPr>
            <w:tcW w:w="6497" w:type="dxa"/>
            <w:gridSpan w:val="5"/>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eastAsia"/>
                <w:kern w:val="0"/>
                <w:szCs w:val="21"/>
                <w:highlight w:val="none"/>
              </w:rPr>
            </w:pPr>
            <w:r>
              <w:rPr>
                <w:kern w:val="0"/>
                <w:szCs w:val="21"/>
                <w:highlight w:val="none"/>
              </w:rPr>
              <w:t>产出指标</w:t>
            </w:r>
            <w:r>
              <w:rPr>
                <w:rFonts w:hint="eastAsia"/>
                <w:kern w:val="0"/>
                <w:szCs w:val="21"/>
                <w:highlight w:val="none"/>
              </w:rPr>
              <w:t>：</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highlight w:val="none"/>
              </w:rPr>
            </w:pPr>
            <w:r>
              <w:rPr>
                <w:highlight w:val="none"/>
              </w:rPr>
              <w:t>1、文明创建。</w:t>
            </w:r>
            <w:r>
              <w:rPr>
                <w:rFonts w:hint="eastAsia" w:ascii="Calibri" w:hAnsi="Calibri" w:eastAsia="宋体" w:cs="Times New Roman"/>
                <w:kern w:val="0"/>
                <w:szCs w:val="21"/>
                <w:highlight w:val="none"/>
              </w:rPr>
              <w:t>贯彻落实文明委精神，做好文明建设工作。举办各类实用技术培训班4期</w:t>
            </w:r>
            <w:r>
              <w:rPr>
                <w:rFonts w:hint="eastAsia" w:ascii="Calibri" w:hAnsi="Calibri" w:eastAsia="宋体" w:cs="Times New Roman"/>
                <w:kern w:val="0"/>
                <w:szCs w:val="21"/>
                <w:highlight w:val="none"/>
                <w:lang w:val="en-US" w:eastAsia="zh-CN"/>
              </w:rPr>
              <w:t>以上</w:t>
            </w:r>
            <w:r>
              <w:rPr>
                <w:rFonts w:hint="eastAsia" w:ascii="Calibri" w:hAnsi="Calibri" w:eastAsia="宋体" w:cs="Times New Roman"/>
                <w:kern w:val="0"/>
                <w:szCs w:val="21"/>
                <w:highlight w:val="none"/>
              </w:rPr>
              <w:t>，培训农民各类生产生活技能；开展志愿活动4次，扩大宣传效果</w:t>
            </w:r>
            <w:r>
              <w:rPr>
                <w:highlight w:val="none"/>
              </w:rPr>
              <w:t>。</w:t>
            </w:r>
          </w:p>
          <w:p>
            <w:pPr>
              <w:keepNext w:val="0"/>
              <w:keepLines w:val="0"/>
              <w:pageBreakBefore w:val="0"/>
              <w:kinsoku/>
              <w:wordWrap/>
              <w:overflowPunct/>
              <w:topLinePunct w:val="0"/>
              <w:autoSpaceDE/>
              <w:autoSpaceDN/>
              <w:bidi w:val="0"/>
              <w:adjustRightInd/>
              <w:snapToGrid/>
              <w:spacing w:line="480" w:lineRule="exact"/>
              <w:textAlignment w:val="auto"/>
              <w:rPr>
                <w:highlight w:val="none"/>
              </w:rPr>
            </w:pPr>
            <w:r>
              <w:rPr>
                <w:rFonts w:hint="eastAsia"/>
                <w:highlight w:val="none"/>
              </w:rPr>
              <w:t xml:space="preserve">    </w:t>
            </w:r>
            <w:r>
              <w:rPr>
                <w:highlight w:val="none"/>
              </w:rPr>
              <w:t>2、文化设施标准化建设和免费开放。</w:t>
            </w:r>
            <w:r>
              <w:rPr>
                <w:rFonts w:hint="eastAsia"/>
                <w:highlight w:val="none"/>
                <w:lang w:val="en-US" w:eastAsia="zh-CN"/>
              </w:rPr>
              <w:t>提供</w:t>
            </w:r>
            <w:r>
              <w:rPr>
                <w:rFonts w:ascii="Calibri" w:hAnsi="Calibri" w:eastAsia="宋体" w:cs="Times New Roman"/>
                <w:highlight w:val="none"/>
              </w:rPr>
              <w:t>室内、室外文化娱乐场地，有效使用面积</w:t>
            </w:r>
            <w:r>
              <w:rPr>
                <w:rFonts w:hint="eastAsia" w:ascii="Calibri" w:hAnsi="Calibri" w:eastAsia="宋体" w:cs="Times New Roman"/>
                <w:highlight w:val="none"/>
                <w:lang w:val="en-US" w:eastAsia="zh-CN"/>
              </w:rPr>
              <w:t>达到</w:t>
            </w:r>
            <w:r>
              <w:rPr>
                <w:rFonts w:hint="eastAsia" w:ascii="Calibri" w:hAnsi="Calibri" w:eastAsia="宋体" w:cs="Times New Roman"/>
                <w:highlight w:val="none"/>
              </w:rPr>
              <w:t>2000</w:t>
            </w:r>
            <w:r>
              <w:rPr>
                <w:rFonts w:ascii="Calibri" w:hAnsi="Calibri" w:eastAsia="宋体" w:cs="Times New Roman"/>
                <w:highlight w:val="none"/>
              </w:rPr>
              <w:t>平方米，室内文化</w:t>
            </w:r>
            <w:r>
              <w:rPr>
                <w:rFonts w:hint="eastAsia" w:ascii="Calibri" w:hAnsi="Calibri" w:eastAsia="宋体" w:cs="Times New Roman"/>
                <w:highlight w:val="none"/>
              </w:rPr>
              <w:t>室配有电脑、电视机、专业音响设备、投影仪器、跑步机等</w:t>
            </w:r>
            <w:r>
              <w:rPr>
                <w:rFonts w:ascii="Calibri" w:hAnsi="Calibri" w:eastAsia="宋体" w:cs="Times New Roman"/>
                <w:highlight w:val="none"/>
              </w:rPr>
              <w:t>，阅览室藏书更新</w:t>
            </w:r>
            <w:r>
              <w:rPr>
                <w:rFonts w:hint="eastAsia" w:ascii="Calibri" w:hAnsi="Calibri" w:eastAsia="宋体" w:cs="Times New Roman"/>
                <w:highlight w:val="none"/>
              </w:rPr>
              <w:t>1000多</w:t>
            </w:r>
            <w:r>
              <w:rPr>
                <w:rFonts w:ascii="Calibri" w:hAnsi="Calibri" w:eastAsia="宋体" w:cs="Times New Roman"/>
                <w:highlight w:val="none"/>
              </w:rPr>
              <w:t>册，达</w:t>
            </w:r>
            <w:r>
              <w:rPr>
                <w:rFonts w:hint="eastAsia" w:ascii="Calibri" w:hAnsi="Calibri" w:eastAsia="宋体" w:cs="Times New Roman"/>
                <w:highlight w:val="none"/>
              </w:rPr>
              <w:t>400</w:t>
            </w:r>
            <w:r>
              <w:rPr>
                <w:rFonts w:ascii="Calibri" w:hAnsi="Calibri" w:eastAsia="宋体" w:cs="Times New Roman"/>
                <w:highlight w:val="none"/>
              </w:rPr>
              <w:t>册</w:t>
            </w:r>
            <w:r>
              <w:rPr>
                <w:rFonts w:hint="eastAsia" w:ascii="Calibri" w:hAnsi="Calibri" w:eastAsia="宋体" w:cs="Times New Roman"/>
                <w:highlight w:val="none"/>
              </w:rPr>
              <w:t>，近期新增一批乐器设备和一套篮球架</w:t>
            </w:r>
            <w:r>
              <w:rPr>
                <w:rFonts w:ascii="Calibri" w:hAnsi="Calibri" w:eastAsia="宋体" w:cs="Times New Roman"/>
                <w:highlight w:val="none"/>
              </w:rPr>
              <w:t>；文化站每周周一至周五免费开放，</w:t>
            </w:r>
            <w:r>
              <w:rPr>
                <w:rFonts w:hint="eastAsia" w:ascii="Calibri" w:hAnsi="Calibri" w:eastAsia="宋体" w:cs="Times New Roman"/>
                <w:highlight w:val="none"/>
                <w:lang w:eastAsia="zh-CN"/>
              </w:rPr>
              <w:t>乡</w:t>
            </w:r>
            <w:r>
              <w:rPr>
                <w:rFonts w:ascii="Calibri" w:hAnsi="Calibri" w:eastAsia="宋体" w:cs="Times New Roman"/>
                <w:highlight w:val="none"/>
              </w:rPr>
              <w:t>文化综合站电子阅览室免费对外开放</w:t>
            </w:r>
            <w:r>
              <w:rPr>
                <w:rFonts w:hint="eastAsia" w:ascii="Calibri" w:hAnsi="Calibri" w:eastAsia="宋体" w:cs="Times New Roman"/>
                <w:highlight w:val="none"/>
              </w:rPr>
              <w:t>，并对使用情况设台账进行登记</w:t>
            </w:r>
            <w:r>
              <w:rPr>
                <w:rFonts w:ascii="Calibri" w:hAnsi="Calibri" w:eastAsia="宋体" w:cs="Times New Roman"/>
                <w:highlight w:val="none"/>
              </w:rPr>
              <w:t>。</w:t>
            </w:r>
          </w:p>
          <w:p>
            <w:pPr>
              <w:keepNext w:val="0"/>
              <w:keepLines w:val="0"/>
              <w:pageBreakBefore w:val="0"/>
              <w:kinsoku/>
              <w:wordWrap/>
              <w:overflowPunct/>
              <w:topLinePunct w:val="0"/>
              <w:autoSpaceDE/>
              <w:autoSpaceDN/>
              <w:bidi w:val="0"/>
              <w:adjustRightInd/>
              <w:snapToGrid/>
              <w:spacing w:line="480" w:lineRule="exact"/>
              <w:textAlignment w:val="auto"/>
              <w:rPr>
                <w:highlight w:val="none"/>
              </w:rPr>
            </w:pPr>
            <w:r>
              <w:rPr>
                <w:rFonts w:hint="eastAsia"/>
                <w:highlight w:val="none"/>
              </w:rPr>
              <w:t xml:space="preserve">    </w:t>
            </w:r>
            <w:r>
              <w:rPr>
                <w:highlight w:val="none"/>
              </w:rPr>
              <w:t>3、文化活动开展。群众性活动</w:t>
            </w:r>
            <w:r>
              <w:rPr>
                <w:rFonts w:hint="eastAsia"/>
                <w:highlight w:val="none"/>
              </w:rPr>
              <w:t>5</w:t>
            </w:r>
            <w:r>
              <w:rPr>
                <w:highlight w:val="none"/>
              </w:rPr>
              <w:t>次，分别是组建广场舞队，开展县广场舞比赛、乡篮球比赛、组建民俗文化表演队，开展“十一”民俗表演活动</w:t>
            </w:r>
            <w:r>
              <w:rPr>
                <w:rFonts w:hint="eastAsia"/>
                <w:highlight w:val="none"/>
              </w:rPr>
              <w:t>，举办各类节日晚会等</w:t>
            </w:r>
            <w:r>
              <w:rPr>
                <w:highlight w:val="none"/>
              </w:rPr>
              <w:t>。</w:t>
            </w:r>
          </w:p>
          <w:p>
            <w:pPr>
              <w:keepNext w:val="0"/>
              <w:keepLines w:val="0"/>
              <w:pageBreakBefore w:val="0"/>
              <w:kinsoku/>
              <w:wordWrap/>
              <w:overflowPunct/>
              <w:topLinePunct w:val="0"/>
              <w:autoSpaceDE/>
              <w:autoSpaceDN/>
              <w:bidi w:val="0"/>
              <w:adjustRightInd/>
              <w:snapToGrid/>
              <w:spacing w:line="480" w:lineRule="exact"/>
              <w:ind w:firstLine="420"/>
              <w:textAlignment w:val="auto"/>
              <w:rPr>
                <w:highlight w:val="none"/>
              </w:rPr>
            </w:pPr>
            <w:r>
              <w:rPr>
                <w:highlight w:val="none"/>
              </w:rPr>
              <w:t>4、文化遗产保护和文化市场管理。</w:t>
            </w:r>
            <w:r>
              <w:rPr>
                <w:rFonts w:ascii="Calibri" w:hAnsi="Calibri" w:eastAsia="宋体" w:cs="Times New Roman"/>
                <w:highlight w:val="none"/>
              </w:rPr>
              <w:t>开展</w:t>
            </w:r>
            <w:r>
              <w:rPr>
                <w:rFonts w:hint="eastAsia" w:ascii="Calibri" w:hAnsi="Calibri" w:eastAsia="宋体" w:cs="Times New Roman"/>
                <w:highlight w:val="none"/>
                <w:lang w:eastAsia="zh-CN"/>
              </w:rPr>
              <w:t>东山乡</w:t>
            </w:r>
            <w:r>
              <w:rPr>
                <w:rFonts w:ascii="Calibri" w:hAnsi="Calibri" w:eastAsia="宋体" w:cs="Times New Roman"/>
                <w:highlight w:val="none"/>
              </w:rPr>
              <w:t>文物及非物质文化遗产普查工作；开展文化市场调查，与安监站、综治办、</w:t>
            </w:r>
            <w:r>
              <w:rPr>
                <w:rFonts w:hint="eastAsia" w:ascii="Calibri" w:hAnsi="Calibri" w:eastAsia="宋体" w:cs="Times New Roman"/>
                <w:highlight w:val="none"/>
                <w:lang w:eastAsia="zh-CN"/>
              </w:rPr>
              <w:t>乡</w:t>
            </w:r>
            <w:r>
              <w:rPr>
                <w:rFonts w:ascii="Calibri" w:hAnsi="Calibri" w:eastAsia="宋体" w:cs="Times New Roman"/>
                <w:highlight w:val="none"/>
              </w:rPr>
              <w:t>派出所联合行动开展文化市场安全整治活动</w:t>
            </w:r>
            <w:r>
              <w:rPr>
                <w:rFonts w:hint="eastAsia" w:ascii="Calibri" w:hAnsi="Calibri" w:eastAsia="宋体" w:cs="Times New Roman"/>
                <w:highlight w:val="none"/>
                <w:lang w:val="en-US" w:eastAsia="zh-CN"/>
              </w:rPr>
              <w:t>1次以上</w:t>
            </w:r>
            <w:r>
              <w:rPr>
                <w:rFonts w:ascii="Calibri" w:hAnsi="Calibri" w:eastAsia="宋体" w:cs="Times New Roman"/>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283" w:type="dxa"/>
            <w:vMerge w:val="continue"/>
            <w:vAlign w:val="center"/>
          </w:tcPr>
          <w:p>
            <w:pPr>
              <w:widowControl/>
              <w:jc w:val="center"/>
              <w:rPr>
                <w:rFonts w:ascii="宋体" w:hAnsi="宋体"/>
                <w:kern w:val="0"/>
                <w:szCs w:val="21"/>
                <w:highlight w:val="none"/>
              </w:rPr>
            </w:pPr>
          </w:p>
        </w:tc>
        <w:tc>
          <w:tcPr>
            <w:tcW w:w="1860" w:type="dxa"/>
            <w:gridSpan w:val="2"/>
            <w:vMerge w:val="continue"/>
            <w:vAlign w:val="center"/>
          </w:tcPr>
          <w:p>
            <w:pPr>
              <w:widowControl/>
              <w:jc w:val="left"/>
              <w:rPr>
                <w:kern w:val="0"/>
                <w:szCs w:val="21"/>
                <w:highlight w:val="none"/>
              </w:rPr>
            </w:pPr>
          </w:p>
        </w:tc>
        <w:tc>
          <w:tcPr>
            <w:tcW w:w="6497" w:type="dxa"/>
            <w:gridSpan w:val="5"/>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Calibri" w:hAnsi="Calibri" w:eastAsia="宋体" w:cs="Times New Roman"/>
                <w:kern w:val="0"/>
                <w:szCs w:val="21"/>
                <w:highlight w:val="none"/>
              </w:rPr>
            </w:pPr>
            <w:r>
              <w:rPr>
                <w:kern w:val="0"/>
                <w:szCs w:val="21"/>
                <w:highlight w:val="none"/>
              </w:rPr>
              <w:t>效益指标</w:t>
            </w:r>
            <w:r>
              <w:rPr>
                <w:rFonts w:hint="eastAsia"/>
                <w:kern w:val="0"/>
                <w:szCs w:val="21"/>
                <w:highlight w:val="none"/>
              </w:rPr>
              <w:t>：</w:t>
            </w:r>
            <w:r>
              <w:rPr>
                <w:rFonts w:hint="eastAsia" w:ascii="Calibri" w:hAnsi="Calibri" w:eastAsia="宋体" w:cs="Times New Roman"/>
                <w:kern w:val="0"/>
                <w:szCs w:val="21"/>
                <w:highlight w:val="none"/>
              </w:rPr>
              <w:t>1、社会效益：大力发展文化事业，丰富人民群众文化生活，打造文明乡。</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Calibri" w:hAnsi="Calibri" w:eastAsia="宋体" w:cs="Times New Roman"/>
                <w:kern w:val="0"/>
                <w:szCs w:val="21"/>
                <w:highlight w:val="none"/>
              </w:rPr>
            </w:pPr>
            <w:r>
              <w:rPr>
                <w:rFonts w:hint="eastAsia" w:ascii="Calibri" w:hAnsi="Calibri" w:eastAsia="宋体" w:cs="Times New Roman"/>
                <w:kern w:val="0"/>
                <w:szCs w:val="21"/>
                <w:highlight w:val="none"/>
              </w:rPr>
              <w:t>2、社会效益：提升农民生产生活技能，方便人民群众生产生活。</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kern w:val="0"/>
                <w:szCs w:val="21"/>
                <w:highlight w:val="none"/>
              </w:rPr>
            </w:pPr>
            <w:r>
              <w:rPr>
                <w:rFonts w:hint="eastAsia" w:ascii="Calibri" w:hAnsi="Calibri" w:eastAsia="宋体" w:cs="Times New Roman"/>
                <w:kern w:val="0"/>
                <w:szCs w:val="21"/>
                <w:highlight w:val="none"/>
              </w:rPr>
              <w:t>3、可持续影响指标：实现文化建设“人员、基础、内容”进一步拓展，深化</w:t>
            </w:r>
            <w:r>
              <w:rPr>
                <w:rFonts w:ascii="Calibri" w:hAnsi="Calibri" w:eastAsia="宋体" w:cs="Times New Roman"/>
                <w:highlight w:val="none"/>
              </w:rPr>
              <w:t>传承和弘扬民俗文化</w:t>
            </w:r>
            <w:r>
              <w:rPr>
                <w:rFonts w:hint="eastAsia" w:ascii="Calibri" w:hAnsi="Calibri" w:eastAsia="宋体" w:cs="Times New Roman"/>
                <w:highlight w:val="none"/>
              </w:rPr>
              <w:t>，</w:t>
            </w:r>
            <w:r>
              <w:rPr>
                <w:rFonts w:hint="eastAsia" w:ascii="Calibri" w:hAnsi="Calibri" w:eastAsia="宋体" w:cs="Times New Roman"/>
                <w:kern w:val="0"/>
                <w:szCs w:val="21"/>
                <w:highlight w:val="none"/>
              </w:rPr>
              <w:t>打造特色</w:t>
            </w:r>
            <w:r>
              <w:rPr>
                <w:rFonts w:hint="eastAsia" w:ascii="Calibri" w:hAnsi="Calibri" w:eastAsia="宋体" w:cs="Times New Roman"/>
                <w:kern w:val="0"/>
                <w:szCs w:val="21"/>
                <w:highlight w:val="none"/>
                <w:lang w:eastAsia="zh-CN"/>
              </w:rPr>
              <w:t>东山乡</w:t>
            </w:r>
            <w:r>
              <w:rPr>
                <w:rFonts w:hint="eastAsia" w:ascii="Calibri" w:hAnsi="Calibri" w:eastAsia="宋体" w:cs="Times New Roman"/>
                <w:kern w:val="0"/>
                <w:szCs w:val="21"/>
                <w:highlight w:val="none"/>
              </w:rPr>
              <w:t>文化品牌。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283" w:type="dxa"/>
            <w:vMerge w:val="continue"/>
            <w:vAlign w:val="center"/>
          </w:tcPr>
          <w:p>
            <w:pPr>
              <w:widowControl/>
              <w:jc w:val="center"/>
              <w:rPr>
                <w:rFonts w:ascii="宋体" w:hAnsi="宋体"/>
                <w:kern w:val="0"/>
                <w:szCs w:val="21"/>
                <w:highlight w:val="none"/>
              </w:rPr>
            </w:pPr>
          </w:p>
        </w:tc>
        <w:tc>
          <w:tcPr>
            <w:tcW w:w="1860" w:type="dxa"/>
            <w:gridSpan w:val="2"/>
            <w:vMerge w:val="restart"/>
            <w:vAlign w:val="center"/>
          </w:tcPr>
          <w:p>
            <w:pPr>
              <w:widowControl/>
              <w:jc w:val="left"/>
              <w:rPr>
                <w:kern w:val="0"/>
                <w:szCs w:val="21"/>
                <w:highlight w:val="none"/>
              </w:rPr>
            </w:pPr>
            <w:r>
              <w:rPr>
                <w:rFonts w:hint="eastAsia"/>
                <w:kern w:val="0"/>
                <w:szCs w:val="21"/>
                <w:highlight w:val="none"/>
              </w:rPr>
              <w:t>绩效目标内容6：</w:t>
            </w:r>
          </w:p>
          <w:p>
            <w:pPr>
              <w:rPr>
                <w:highlight w:val="none"/>
              </w:rPr>
            </w:pPr>
            <w:r>
              <w:rPr>
                <w:highlight w:val="none"/>
              </w:rPr>
              <w:t>生态</w:t>
            </w:r>
            <w:r>
              <w:rPr>
                <w:rFonts w:hint="eastAsia"/>
                <w:highlight w:val="none"/>
              </w:rPr>
              <w:t>环境建设</w:t>
            </w:r>
          </w:p>
          <w:p>
            <w:pPr>
              <w:widowControl/>
              <w:jc w:val="left"/>
              <w:rPr>
                <w:kern w:val="0"/>
                <w:szCs w:val="21"/>
                <w:highlight w:val="none"/>
              </w:rPr>
            </w:pPr>
          </w:p>
        </w:tc>
        <w:tc>
          <w:tcPr>
            <w:tcW w:w="6497" w:type="dxa"/>
            <w:gridSpan w:val="5"/>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eastAsia"/>
                <w:kern w:val="0"/>
                <w:szCs w:val="21"/>
                <w:highlight w:val="none"/>
              </w:rPr>
            </w:pPr>
            <w:r>
              <w:rPr>
                <w:kern w:val="0"/>
                <w:szCs w:val="21"/>
                <w:highlight w:val="none"/>
              </w:rPr>
              <w:t>产出指标</w:t>
            </w:r>
            <w:r>
              <w:rPr>
                <w:rFonts w:hint="eastAsia"/>
                <w:kern w:val="0"/>
                <w:szCs w:val="21"/>
                <w:highlight w:val="none"/>
              </w:rPr>
              <w:t>：</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highlight w:val="none"/>
              </w:rPr>
            </w:pPr>
            <w:r>
              <w:rPr>
                <w:highlight w:val="none"/>
              </w:rPr>
              <w:t>1、资源培育。</w:t>
            </w:r>
            <w:r>
              <w:rPr>
                <w:rFonts w:hint="eastAsia"/>
                <w:highlight w:val="none"/>
              </w:rPr>
              <w:t>坚守1577亩生态保护红线，巩固森林生态优势。完成造林500亩、幼林抚育1500亩。集体林年商品材砍伐量控制在3800立方米。从严审批占地用林，严厉打击滥砍滥伐。加强野生动植物资源保护，保护生物多样性。健全森林火灾和病虫害应急预警救灾机制。</w:t>
            </w:r>
          </w:p>
          <w:p>
            <w:pPr>
              <w:keepNext w:val="0"/>
              <w:keepLines w:val="0"/>
              <w:pageBreakBefore w:val="0"/>
              <w:kinsoku/>
              <w:wordWrap/>
              <w:overflowPunct/>
              <w:topLinePunct w:val="0"/>
              <w:autoSpaceDE/>
              <w:autoSpaceDN/>
              <w:bidi w:val="0"/>
              <w:adjustRightInd/>
              <w:snapToGrid/>
              <w:spacing w:line="480" w:lineRule="exact"/>
              <w:textAlignment w:val="auto"/>
              <w:rPr>
                <w:highlight w:val="none"/>
              </w:rPr>
            </w:pPr>
            <w:r>
              <w:rPr>
                <w:rFonts w:hint="eastAsia"/>
                <w:highlight w:val="none"/>
              </w:rPr>
              <w:t xml:space="preserve">    </w:t>
            </w:r>
            <w:r>
              <w:rPr>
                <w:highlight w:val="none"/>
              </w:rPr>
              <w:t>2、林政管理。规范林政管理，维护林区秩序，积极宣传林业法律、政策。</w:t>
            </w:r>
            <w:r>
              <w:rPr>
                <w:rFonts w:hint="eastAsia" w:ascii="Calibri" w:hAnsi="Calibri" w:eastAsia="宋体" w:cs="Times New Roman"/>
                <w:highlight w:val="none"/>
              </w:rPr>
              <w:t>与县林业局、林业公安分局联合对全乡无证木材加工、盗伐、滥伐、无证运输、收购竹木行为进行了整顿，严格了税费征收。</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highlight w:val="none"/>
              </w:rPr>
            </w:pPr>
            <w:r>
              <w:rPr>
                <w:rFonts w:hint="eastAsia"/>
                <w:highlight w:val="none"/>
              </w:rPr>
              <w:t xml:space="preserve">    </w:t>
            </w:r>
            <w:r>
              <w:rPr>
                <w:highlight w:val="none"/>
              </w:rPr>
              <w:t>3、森林防火。</w:t>
            </w:r>
            <w:r>
              <w:rPr>
                <w:rFonts w:hint="eastAsia" w:ascii="Calibri" w:hAnsi="Calibri" w:eastAsia="宋体" w:cs="Times New Roman"/>
                <w:highlight w:val="none"/>
              </w:rPr>
              <w:t>严格落实森林防火制度，森林防火值班制度；加强森林防火宣传工作，签订责任状，召开村干部会议，强调森林防火工作的重要性，并印发相关宣传资料，发放到户；加强森林防火队伍建设，各村均建立防火队伍，乡里组建3支扑火应急队伍，杜绝森林火灾的发生。</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Theme="minorEastAsia" w:hAnsiTheme="minorEastAsia" w:eastAsiaTheme="minorEastAsia" w:cstheme="minorEastAsia"/>
                <w:sz w:val="21"/>
                <w:szCs w:val="21"/>
                <w:highlight w:val="none"/>
              </w:rPr>
            </w:pPr>
            <w:r>
              <w:rPr>
                <w:highlight w:val="none"/>
              </w:rPr>
              <w:t>4、环境保护。</w:t>
            </w:r>
            <w:r>
              <w:rPr>
                <w:rFonts w:hint="eastAsia" w:asciiTheme="minorEastAsia" w:hAnsiTheme="minorEastAsia" w:eastAsiaTheme="minorEastAsia" w:cstheme="minorEastAsia"/>
                <w:sz w:val="21"/>
                <w:szCs w:val="21"/>
                <w:highlight w:val="none"/>
              </w:rPr>
              <w:t>抓好水资源的保护，严格执行“七个一律”，狠抓河长制落实，有效开展农村养猪场废水排放整治工作。</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kern w:val="0"/>
                <w:szCs w:val="21"/>
                <w:highlight w:val="none"/>
              </w:rPr>
            </w:pPr>
            <w:r>
              <w:rPr>
                <w:rFonts w:hint="eastAsia"/>
                <w:highlight w:val="none"/>
              </w:rPr>
              <w:t xml:space="preserve">    </w:t>
            </w:r>
            <w:r>
              <w:rPr>
                <w:highlight w:val="none"/>
              </w:rPr>
              <w:t>5、城乡环境整治行动。</w:t>
            </w:r>
            <w:r>
              <w:rPr>
                <w:rFonts w:hint="eastAsia" w:ascii="Calibri" w:hAnsi="Calibri" w:eastAsia="宋体" w:cs="Times New Roman"/>
                <w:highlight w:val="none"/>
              </w:rPr>
              <w:t>开展《环保法》宣传活动3次，张贴宣传标语50条，坚决查处、杜绝高污染企业，</w:t>
            </w:r>
            <w:r>
              <w:rPr>
                <w:rFonts w:hint="eastAsia" w:ascii="Calibri" w:hAnsi="Calibri" w:eastAsia="宋体" w:cs="Times New Roman"/>
                <w:highlight w:val="none"/>
                <w:lang w:val="en-US" w:eastAsia="zh-CN"/>
              </w:rPr>
              <w:t>2020</w:t>
            </w:r>
            <w:r>
              <w:rPr>
                <w:rFonts w:hint="eastAsia" w:ascii="Calibri" w:hAnsi="Calibri" w:eastAsia="宋体" w:cs="Times New Roman"/>
                <w:highlight w:val="none"/>
              </w:rPr>
              <w:t>年度，</w:t>
            </w:r>
            <w:r>
              <w:rPr>
                <w:rFonts w:hint="eastAsia" w:ascii="Calibri" w:hAnsi="Calibri" w:eastAsia="宋体" w:cs="Times New Roman"/>
                <w:highlight w:val="none"/>
                <w:lang w:val="en-US" w:eastAsia="zh-CN"/>
              </w:rPr>
              <w:t>确保</w:t>
            </w:r>
            <w:r>
              <w:rPr>
                <w:rFonts w:hint="eastAsia" w:ascii="Calibri" w:hAnsi="Calibri" w:eastAsia="宋体" w:cs="Times New Roman"/>
                <w:highlight w:val="none"/>
              </w:rPr>
              <w:t>无“五小”企业违法生产、全乡没有发生一起环境污染事件，没有焚烧秸秆现象，也没有环境污染上访事件发生。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283" w:type="dxa"/>
            <w:vMerge w:val="continue"/>
            <w:vAlign w:val="center"/>
          </w:tcPr>
          <w:p>
            <w:pPr>
              <w:widowControl/>
              <w:jc w:val="center"/>
              <w:rPr>
                <w:rFonts w:ascii="宋体" w:hAnsi="宋体"/>
                <w:kern w:val="0"/>
                <w:szCs w:val="21"/>
                <w:highlight w:val="none"/>
              </w:rPr>
            </w:pPr>
          </w:p>
        </w:tc>
        <w:tc>
          <w:tcPr>
            <w:tcW w:w="1860" w:type="dxa"/>
            <w:gridSpan w:val="2"/>
            <w:vMerge w:val="continue"/>
            <w:vAlign w:val="center"/>
          </w:tcPr>
          <w:p>
            <w:pPr>
              <w:widowControl/>
              <w:jc w:val="left"/>
              <w:rPr>
                <w:kern w:val="0"/>
                <w:szCs w:val="21"/>
                <w:highlight w:val="none"/>
              </w:rPr>
            </w:pPr>
          </w:p>
        </w:tc>
        <w:tc>
          <w:tcPr>
            <w:tcW w:w="6497" w:type="dxa"/>
            <w:gridSpan w:val="5"/>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kern w:val="0"/>
                <w:szCs w:val="21"/>
                <w:highlight w:val="none"/>
              </w:rPr>
            </w:pPr>
            <w:r>
              <w:rPr>
                <w:kern w:val="0"/>
                <w:szCs w:val="21"/>
                <w:highlight w:val="none"/>
              </w:rPr>
              <w:t>效益指标</w:t>
            </w:r>
            <w:r>
              <w:rPr>
                <w:rFonts w:hint="eastAsia"/>
                <w:kern w:val="0"/>
                <w:szCs w:val="21"/>
                <w:highlight w:val="none"/>
              </w:rPr>
              <w:t>：</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Calibri" w:hAnsi="Calibri" w:eastAsia="宋体" w:cs="Times New Roman"/>
                <w:kern w:val="0"/>
                <w:szCs w:val="21"/>
                <w:highlight w:val="none"/>
              </w:rPr>
            </w:pPr>
            <w:r>
              <w:rPr>
                <w:rFonts w:hint="eastAsia" w:ascii="Calibri" w:hAnsi="Calibri" w:eastAsia="宋体" w:cs="Times New Roman"/>
                <w:kern w:val="0"/>
                <w:szCs w:val="21"/>
                <w:highlight w:val="none"/>
              </w:rPr>
              <w:t>1、可持续影响指标：解决乡村环境“脏、乱、差”问题，塑造村容整治、秩序井然、生态良好、乡村文明的农村新面貌。</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Calibri" w:hAnsi="Calibri" w:eastAsia="宋体" w:cs="Times New Roman"/>
                <w:kern w:val="0"/>
                <w:szCs w:val="21"/>
                <w:highlight w:val="none"/>
              </w:rPr>
            </w:pPr>
            <w:r>
              <w:rPr>
                <w:rFonts w:hint="eastAsia" w:ascii="Calibri" w:hAnsi="Calibri" w:eastAsia="宋体" w:cs="Times New Roman"/>
                <w:kern w:val="0"/>
                <w:szCs w:val="21"/>
                <w:highlight w:val="none"/>
              </w:rPr>
              <w:t>2、生态效益指标：生态环境普及全民参与，营造良好氛围。</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Calibri" w:hAnsi="Calibri" w:eastAsia="宋体" w:cs="Times New Roman"/>
                <w:kern w:val="0"/>
                <w:szCs w:val="21"/>
                <w:highlight w:val="none"/>
                <w:lang w:val="en-US" w:eastAsia="zh-CN"/>
              </w:rPr>
            </w:pPr>
            <w:r>
              <w:rPr>
                <w:rFonts w:hint="eastAsia" w:ascii="Calibri" w:hAnsi="Calibri" w:eastAsia="宋体" w:cs="Times New Roman"/>
                <w:kern w:val="0"/>
                <w:szCs w:val="21"/>
                <w:highlight w:val="none"/>
              </w:rPr>
              <w:t>3、社会效益指标：提升全民参与生态环境建设认同感，做到人人爱护环境，保护环境。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83" w:type="dxa"/>
            <w:vMerge w:val="continue"/>
            <w:vAlign w:val="center"/>
          </w:tcPr>
          <w:p>
            <w:pPr>
              <w:widowControl/>
              <w:jc w:val="center"/>
              <w:rPr>
                <w:rFonts w:ascii="宋体" w:hAnsi="宋体"/>
                <w:kern w:val="0"/>
                <w:szCs w:val="21"/>
                <w:highlight w:val="none"/>
              </w:rPr>
            </w:pPr>
          </w:p>
        </w:tc>
        <w:tc>
          <w:tcPr>
            <w:tcW w:w="1860" w:type="dxa"/>
            <w:gridSpan w:val="2"/>
            <w:vMerge w:val="restart"/>
            <w:vAlign w:val="center"/>
          </w:tcPr>
          <w:p>
            <w:pPr>
              <w:widowControl/>
              <w:jc w:val="left"/>
              <w:rPr>
                <w:kern w:val="0"/>
                <w:szCs w:val="21"/>
                <w:highlight w:val="none"/>
              </w:rPr>
            </w:pPr>
            <w:r>
              <w:rPr>
                <w:rFonts w:hint="eastAsia"/>
                <w:kern w:val="0"/>
                <w:szCs w:val="21"/>
                <w:highlight w:val="none"/>
              </w:rPr>
              <w:t>绩效目标内容7：</w:t>
            </w:r>
          </w:p>
          <w:p>
            <w:pPr>
              <w:widowControl/>
              <w:jc w:val="left"/>
              <w:rPr>
                <w:kern w:val="0"/>
                <w:szCs w:val="21"/>
                <w:highlight w:val="none"/>
              </w:rPr>
            </w:pPr>
            <w:r>
              <w:rPr>
                <w:highlight w:val="none"/>
              </w:rPr>
              <w:t>“底线”工作</w:t>
            </w:r>
          </w:p>
        </w:tc>
        <w:tc>
          <w:tcPr>
            <w:tcW w:w="6497" w:type="dxa"/>
            <w:gridSpan w:val="5"/>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eastAsia"/>
                <w:kern w:val="0"/>
                <w:szCs w:val="21"/>
                <w:highlight w:val="none"/>
              </w:rPr>
            </w:pPr>
            <w:r>
              <w:rPr>
                <w:kern w:val="0"/>
                <w:szCs w:val="21"/>
                <w:highlight w:val="none"/>
              </w:rPr>
              <w:t>产出指标</w:t>
            </w:r>
            <w:r>
              <w:rPr>
                <w:rFonts w:hint="eastAsia"/>
                <w:kern w:val="0"/>
                <w:szCs w:val="21"/>
                <w:highlight w:val="none"/>
              </w:rPr>
              <w:t>：</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highlight w:val="none"/>
              </w:rPr>
            </w:pPr>
            <w:r>
              <w:rPr>
                <w:highlight w:val="none"/>
              </w:rPr>
              <w:t>1、按时完成县</w:t>
            </w:r>
            <w:r>
              <w:rPr>
                <w:rFonts w:hint="eastAsia"/>
                <w:highlight w:val="none"/>
              </w:rPr>
              <w:t>卫生健康局</w:t>
            </w:r>
            <w:r>
              <w:rPr>
                <w:highlight w:val="none"/>
              </w:rPr>
              <w:t>下达的任务。</w:t>
            </w:r>
          </w:p>
          <w:p>
            <w:pPr>
              <w:keepNext w:val="0"/>
              <w:keepLines w:val="0"/>
              <w:pageBreakBefore w:val="0"/>
              <w:kinsoku/>
              <w:wordWrap/>
              <w:overflowPunct/>
              <w:topLinePunct w:val="0"/>
              <w:autoSpaceDE/>
              <w:autoSpaceDN/>
              <w:bidi w:val="0"/>
              <w:adjustRightInd/>
              <w:snapToGrid/>
              <w:spacing w:line="480" w:lineRule="exact"/>
              <w:textAlignment w:val="auto"/>
              <w:rPr>
                <w:highlight w:val="none"/>
              </w:rPr>
            </w:pPr>
            <w:r>
              <w:rPr>
                <w:rFonts w:hint="eastAsia"/>
                <w:highlight w:val="none"/>
              </w:rPr>
              <w:t xml:space="preserve">    </w:t>
            </w:r>
            <w:r>
              <w:rPr>
                <w:highlight w:val="none"/>
              </w:rPr>
              <w:t>2、财政资金管理。依法依规使用各项资金，无重大违纪违规问题。</w:t>
            </w:r>
          </w:p>
          <w:p>
            <w:pPr>
              <w:keepNext w:val="0"/>
              <w:keepLines w:val="0"/>
              <w:pageBreakBefore w:val="0"/>
              <w:kinsoku/>
              <w:wordWrap/>
              <w:overflowPunct/>
              <w:topLinePunct w:val="0"/>
              <w:autoSpaceDE/>
              <w:autoSpaceDN/>
              <w:bidi w:val="0"/>
              <w:adjustRightInd/>
              <w:snapToGrid/>
              <w:spacing w:line="480" w:lineRule="exact"/>
              <w:textAlignment w:val="auto"/>
              <w:rPr>
                <w:highlight w:val="none"/>
              </w:rPr>
            </w:pPr>
            <w:r>
              <w:rPr>
                <w:rFonts w:hint="eastAsia"/>
                <w:highlight w:val="none"/>
              </w:rPr>
              <w:t xml:space="preserve">    </w:t>
            </w:r>
            <w:r>
              <w:rPr>
                <w:highlight w:val="none"/>
              </w:rPr>
              <w:t>3、重大动物疫病防控。全面加强重大疫病防控。加大动物防疫的宣传力度、组织力度和工作力度，全面落实畜禽免疫标识、免疫档案、免疫证“三位一体”的动物标识制度，对家畜家禽规模养殖户做好户籍化管理。全年完成</w:t>
            </w:r>
            <w:r>
              <w:rPr>
                <w:rFonts w:hint="eastAsia"/>
                <w:highlight w:val="none"/>
              </w:rPr>
              <w:t>非洲猪瘟、</w:t>
            </w:r>
            <w:r>
              <w:rPr>
                <w:highlight w:val="none"/>
              </w:rPr>
              <w:t>牲畜口蹄疫、猪瘟、牲猪蓝耳病、禽流感、鸡新城疫、狂太病等免疫任务，对全乡的病死家畜家禽进行无公害处理。全面加强兽药饲料监督。对全</w:t>
            </w:r>
            <w:r>
              <w:rPr>
                <w:rFonts w:hint="eastAsia"/>
                <w:highlight w:val="none"/>
                <w:lang w:eastAsia="zh-CN"/>
              </w:rPr>
              <w:t>乡</w:t>
            </w:r>
            <w:r>
              <w:rPr>
                <w:highlight w:val="none"/>
              </w:rPr>
              <w:t>所有的养殖户和兽药、饲料店进行全面清理，</w:t>
            </w:r>
            <w:r>
              <w:rPr>
                <w:rFonts w:hint="eastAsia"/>
                <w:highlight w:val="none"/>
              </w:rPr>
              <w:t>对</w:t>
            </w:r>
            <w:r>
              <w:rPr>
                <w:highlight w:val="none"/>
              </w:rPr>
              <w:t>过期饲料，过期兽药，全部进行无公害处理，严禁“瘦肉精”等违禁药品生产销售。</w:t>
            </w:r>
          </w:p>
          <w:p>
            <w:pPr>
              <w:keepNext w:val="0"/>
              <w:keepLines w:val="0"/>
              <w:pageBreakBefore w:val="0"/>
              <w:kinsoku/>
              <w:wordWrap/>
              <w:overflowPunct/>
              <w:topLinePunct w:val="0"/>
              <w:autoSpaceDE/>
              <w:autoSpaceDN/>
              <w:bidi w:val="0"/>
              <w:adjustRightInd/>
              <w:snapToGrid/>
              <w:spacing w:line="480" w:lineRule="exact"/>
              <w:textAlignment w:val="auto"/>
              <w:rPr>
                <w:highlight w:val="none"/>
              </w:rPr>
            </w:pPr>
            <w:r>
              <w:rPr>
                <w:rFonts w:hint="eastAsia"/>
                <w:highlight w:val="none"/>
              </w:rPr>
              <w:t xml:space="preserve">    </w:t>
            </w:r>
            <w:r>
              <w:rPr>
                <w:highlight w:val="none"/>
              </w:rPr>
              <w:t>4、食品药品安全。落实直报制度、网络化管理制度；开展食品药品安全整治工作；辖区没有发生重大食品药品安全及中毒事故。</w:t>
            </w:r>
          </w:p>
          <w:p>
            <w:pPr>
              <w:keepNext w:val="0"/>
              <w:keepLines w:val="0"/>
              <w:pageBreakBefore w:val="0"/>
              <w:kinsoku/>
              <w:wordWrap/>
              <w:overflowPunct/>
              <w:topLinePunct w:val="0"/>
              <w:autoSpaceDE/>
              <w:autoSpaceDN/>
              <w:bidi w:val="0"/>
              <w:adjustRightInd/>
              <w:snapToGrid/>
              <w:spacing w:line="480" w:lineRule="exact"/>
              <w:textAlignment w:val="auto"/>
              <w:rPr>
                <w:highlight w:val="none"/>
              </w:rPr>
            </w:pPr>
            <w:r>
              <w:rPr>
                <w:rFonts w:hint="eastAsia"/>
                <w:highlight w:val="none"/>
              </w:rPr>
              <w:t xml:space="preserve">    </w:t>
            </w:r>
            <w:r>
              <w:rPr>
                <w:highlight w:val="none"/>
              </w:rPr>
              <w:t>5、安全生产。一是安全责任加强落实，与</w:t>
            </w:r>
            <w:r>
              <w:rPr>
                <w:rFonts w:hint="eastAsia"/>
                <w:highlight w:val="none"/>
                <w:lang w:val="en-US" w:eastAsia="zh-CN"/>
              </w:rPr>
              <w:t>12</w:t>
            </w:r>
            <w:r>
              <w:rPr>
                <w:highlight w:val="none"/>
              </w:rPr>
              <w:t>村委会签订了《安全生产责任状》和《交通安全管理责任状》</w:t>
            </w:r>
            <w:r>
              <w:rPr>
                <w:rFonts w:hint="eastAsia"/>
                <w:highlight w:val="none"/>
                <w:lang w:eastAsia="zh-CN"/>
              </w:rPr>
              <w:t>，</w:t>
            </w:r>
            <w:r>
              <w:rPr>
                <w:highlight w:val="none"/>
              </w:rPr>
              <w:t>加强安全责任的量化考核。二是对人员密集场所开展消防安全整治工作，严格整治乱拉电线等违规行为，落实安全预防措施。</w:t>
            </w:r>
            <w:r>
              <w:rPr>
                <w:rFonts w:hint="eastAsia"/>
                <w:highlight w:val="none"/>
                <w:lang w:val="en-US" w:eastAsia="zh-CN"/>
              </w:rPr>
              <w:t>三</w:t>
            </w:r>
            <w:r>
              <w:rPr>
                <w:highlight w:val="none"/>
              </w:rPr>
              <w:t>是 “打非治违”、“六打六治”相结合。</w:t>
            </w:r>
            <w:r>
              <w:rPr>
                <w:rFonts w:hint="eastAsia"/>
                <w:highlight w:val="none"/>
                <w:lang w:val="en-US" w:eastAsia="zh-CN"/>
              </w:rPr>
              <w:t>四</w:t>
            </w:r>
            <w:r>
              <w:rPr>
                <w:highlight w:val="none"/>
              </w:rPr>
              <w:t>是对烟花爆竹进行安全整治</w:t>
            </w:r>
            <w:r>
              <w:rPr>
                <w:rFonts w:hint="eastAsia"/>
                <w:highlight w:val="none"/>
                <w:lang w:val="en-US" w:eastAsia="zh-CN"/>
              </w:rPr>
              <w:t>每月乡安监工作人员对烟花爆竹专卖店进行巡查</w:t>
            </w:r>
            <w:r>
              <w:rPr>
                <w:highlight w:val="none"/>
              </w:rPr>
              <w:t>。对无证经营和走私经营点进行严厉打击。六是开展安全生产大检查。</w:t>
            </w:r>
          </w:p>
          <w:p>
            <w:pPr>
              <w:keepNext w:val="0"/>
              <w:keepLines w:val="0"/>
              <w:pageBreakBefore w:val="0"/>
              <w:kinsoku/>
              <w:wordWrap/>
              <w:overflowPunct/>
              <w:topLinePunct w:val="0"/>
              <w:autoSpaceDE/>
              <w:autoSpaceDN/>
              <w:bidi w:val="0"/>
              <w:adjustRightInd/>
              <w:snapToGrid/>
              <w:spacing w:line="480" w:lineRule="exact"/>
              <w:textAlignment w:val="auto"/>
              <w:rPr>
                <w:highlight w:val="none"/>
              </w:rPr>
            </w:pPr>
            <w:r>
              <w:rPr>
                <w:rFonts w:hint="eastAsia"/>
                <w:highlight w:val="none"/>
              </w:rPr>
              <w:t xml:space="preserve">    </w:t>
            </w:r>
            <w:r>
              <w:rPr>
                <w:highlight w:val="none"/>
              </w:rPr>
              <w:t>6、防汛及山洪地质灾害防治工作。健全防汛制度，签订地质灾害责任书，分工明确，责任清晰，完善防汛预案，信息沟通机制，确保及时有效地发布和更新防汛信息，以确保安全度汛。对全乡境内的山塘水库进行了情况摸底，并通过张贴宣传画册、标语进行山洪地质灾害宣传。</w:t>
            </w:r>
          </w:p>
          <w:p>
            <w:pPr>
              <w:keepNext w:val="0"/>
              <w:keepLines w:val="0"/>
              <w:pageBreakBefore w:val="0"/>
              <w:kinsoku/>
              <w:wordWrap/>
              <w:overflowPunct/>
              <w:topLinePunct w:val="0"/>
              <w:autoSpaceDE/>
              <w:autoSpaceDN/>
              <w:bidi w:val="0"/>
              <w:adjustRightInd/>
              <w:snapToGrid/>
              <w:spacing w:line="480" w:lineRule="exact"/>
              <w:textAlignment w:val="auto"/>
              <w:rPr>
                <w:kern w:val="0"/>
                <w:szCs w:val="21"/>
                <w:highlight w:val="none"/>
              </w:rPr>
            </w:pPr>
            <w:r>
              <w:rPr>
                <w:rFonts w:hint="eastAsia"/>
                <w:highlight w:val="none"/>
              </w:rPr>
              <w:t xml:space="preserve">    </w:t>
            </w:r>
            <w:r>
              <w:rPr>
                <w:highlight w:val="none"/>
              </w:rPr>
              <w:t>7、国土与耕地保护工作。</w:t>
            </w:r>
            <w:r>
              <w:rPr>
                <w:rFonts w:hint="eastAsia"/>
                <w:highlight w:val="none"/>
              </w:rPr>
              <w:t>确保</w:t>
            </w:r>
            <w:r>
              <w:rPr>
                <w:highlight w:val="none"/>
              </w:rPr>
              <w:t>辖区内无耕地非正常减少，无非法占用基本农田建房。</w:t>
            </w:r>
            <w:r>
              <w:rPr>
                <w:rFonts w:hint="eastAsia" w:ascii="Calibri" w:hAnsi="Calibri" w:eastAsia="宋体" w:cs="Times New Roman"/>
                <w:kern w:val="0"/>
                <w:szCs w:val="21"/>
                <w:highlight w:val="none"/>
              </w:rPr>
              <w:t>私营化肥店的农药、兽药进行抽查。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283" w:type="dxa"/>
            <w:vMerge w:val="continue"/>
            <w:vAlign w:val="center"/>
          </w:tcPr>
          <w:p>
            <w:pPr>
              <w:widowControl/>
              <w:jc w:val="center"/>
              <w:rPr>
                <w:rFonts w:ascii="宋体" w:hAnsi="宋体"/>
                <w:kern w:val="0"/>
                <w:szCs w:val="21"/>
                <w:highlight w:val="none"/>
              </w:rPr>
            </w:pPr>
          </w:p>
        </w:tc>
        <w:tc>
          <w:tcPr>
            <w:tcW w:w="1860" w:type="dxa"/>
            <w:gridSpan w:val="2"/>
            <w:vMerge w:val="continue"/>
            <w:vAlign w:val="center"/>
          </w:tcPr>
          <w:p>
            <w:pPr>
              <w:widowControl/>
              <w:jc w:val="left"/>
              <w:rPr>
                <w:kern w:val="0"/>
                <w:szCs w:val="21"/>
                <w:highlight w:val="none"/>
              </w:rPr>
            </w:pPr>
          </w:p>
        </w:tc>
        <w:tc>
          <w:tcPr>
            <w:tcW w:w="6497" w:type="dxa"/>
            <w:gridSpan w:val="5"/>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kern w:val="0"/>
                <w:szCs w:val="21"/>
                <w:highlight w:val="none"/>
              </w:rPr>
            </w:pPr>
            <w:r>
              <w:rPr>
                <w:kern w:val="0"/>
                <w:szCs w:val="21"/>
                <w:highlight w:val="none"/>
              </w:rPr>
              <w:t>效益指标</w:t>
            </w:r>
            <w:r>
              <w:rPr>
                <w:rFonts w:hint="eastAsia"/>
                <w:kern w:val="0"/>
                <w:szCs w:val="21"/>
                <w:highlight w:val="none"/>
              </w:rPr>
              <w:t>：</w:t>
            </w:r>
          </w:p>
          <w:p>
            <w:pPr>
              <w:keepNext w:val="0"/>
              <w:keepLines w:val="0"/>
              <w:pageBreakBefore w:val="0"/>
              <w:widowControl/>
              <w:kinsoku/>
              <w:wordWrap/>
              <w:overflowPunct/>
              <w:topLinePunct w:val="0"/>
              <w:autoSpaceDE/>
              <w:autoSpaceDN/>
              <w:bidi w:val="0"/>
              <w:adjustRightInd/>
              <w:snapToGrid/>
              <w:spacing w:line="480" w:lineRule="exact"/>
              <w:ind w:firstLine="105" w:firstLineChars="50"/>
              <w:jc w:val="left"/>
              <w:textAlignment w:val="auto"/>
              <w:rPr>
                <w:rFonts w:hint="eastAsia" w:ascii="Calibri" w:hAnsi="Calibri" w:eastAsia="宋体" w:cs="Times New Roman"/>
                <w:kern w:val="0"/>
                <w:szCs w:val="21"/>
                <w:highlight w:val="none"/>
              </w:rPr>
            </w:pPr>
            <w:r>
              <w:rPr>
                <w:rFonts w:hint="eastAsia" w:ascii="Calibri" w:hAnsi="Calibri" w:eastAsia="宋体" w:cs="Times New Roman"/>
                <w:kern w:val="0"/>
                <w:szCs w:val="21"/>
                <w:highlight w:val="none"/>
              </w:rPr>
              <w:t>1、可持续影响指标：扎实做好防汛工作，为百姓的安全生产提供了有力的保障。</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Calibri" w:hAnsi="Calibri" w:eastAsia="宋体" w:cs="Times New Roman"/>
                <w:kern w:val="0"/>
                <w:szCs w:val="21"/>
                <w:highlight w:val="none"/>
              </w:rPr>
            </w:pPr>
            <w:r>
              <w:rPr>
                <w:rFonts w:hint="eastAsia" w:ascii="Calibri" w:hAnsi="Calibri" w:eastAsia="宋体" w:cs="Times New Roman"/>
                <w:kern w:val="0"/>
                <w:szCs w:val="21"/>
                <w:highlight w:val="none"/>
              </w:rPr>
              <w:t>2、社会效益指标：加大安全生产的监管，保证了百姓的利益、维护了群众的安全，杜绝了各类重特大安全事故的发生。</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Calibri" w:hAnsi="Calibri" w:eastAsia="宋体" w:cs="Times New Roman"/>
                <w:kern w:val="0"/>
                <w:szCs w:val="21"/>
                <w:highlight w:val="none"/>
              </w:rPr>
            </w:pPr>
            <w:r>
              <w:rPr>
                <w:rFonts w:hint="eastAsia" w:ascii="Calibri" w:hAnsi="Calibri" w:eastAsia="宋体" w:cs="Times New Roman"/>
                <w:kern w:val="0"/>
                <w:szCs w:val="21"/>
                <w:highlight w:val="none"/>
              </w:rPr>
              <w:t>3、社会效益指标：计划生育工作的顺利开展，实现了人口与计划生育工作的有效管理与服务。</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Calibri" w:hAnsi="Calibri" w:eastAsia="宋体" w:cs="Times New Roman"/>
                <w:kern w:val="0"/>
                <w:szCs w:val="21"/>
                <w:highlight w:val="none"/>
              </w:rPr>
            </w:pPr>
            <w:r>
              <w:rPr>
                <w:rFonts w:hint="eastAsia" w:ascii="Calibri" w:hAnsi="Calibri" w:eastAsia="宋体" w:cs="Times New Roman"/>
                <w:kern w:val="0"/>
                <w:szCs w:val="21"/>
                <w:highlight w:val="none"/>
              </w:rPr>
              <w:t>4、经济效益指标：建立完善</w:t>
            </w:r>
            <w:r>
              <w:rPr>
                <w:rFonts w:hint="eastAsia" w:ascii="Calibri" w:hAnsi="Calibri" w:eastAsia="宋体" w:cs="Times New Roman"/>
                <w:highlight w:val="none"/>
              </w:rPr>
              <w:t>乡政府资产清查、乡村两级债权债务清查机制，促进乡村财务工作标准化</w:t>
            </w:r>
            <w:r>
              <w:rPr>
                <w:rFonts w:hint="eastAsia" w:ascii="Calibri" w:hAnsi="Calibri" w:eastAsia="宋体" w:cs="Times New Roman"/>
                <w:highlight w:val="none"/>
                <w:lang w:eastAsia="zh-CN"/>
              </w:rPr>
              <w:t>，</w:t>
            </w:r>
            <w:r>
              <w:rPr>
                <w:rFonts w:hint="eastAsia" w:ascii="Calibri" w:hAnsi="Calibri" w:eastAsia="宋体" w:cs="Times New Roman"/>
                <w:highlight w:val="none"/>
                <w:lang w:val="en-US" w:eastAsia="zh-CN"/>
              </w:rPr>
              <w:t>财务公开率达100%</w:t>
            </w:r>
            <w:r>
              <w:rPr>
                <w:rFonts w:hint="eastAsia" w:ascii="Calibri" w:hAnsi="Calibri" w:eastAsia="宋体" w:cs="Times New Roman"/>
                <w:highlight w:val="none"/>
              </w:rPr>
              <w:t>。</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Calibri" w:hAnsi="Calibri" w:eastAsia="宋体" w:cs="Times New Roman"/>
                <w:kern w:val="0"/>
                <w:szCs w:val="21"/>
                <w:highlight w:val="none"/>
              </w:rPr>
            </w:pPr>
            <w:r>
              <w:rPr>
                <w:rFonts w:hint="eastAsia" w:ascii="Calibri" w:hAnsi="Calibri" w:eastAsia="宋体" w:cs="Times New Roman"/>
                <w:kern w:val="0"/>
                <w:szCs w:val="21"/>
                <w:highlight w:val="none"/>
              </w:rPr>
              <w:t>5、经济效益指标：加强</w:t>
            </w:r>
            <w:r>
              <w:rPr>
                <w:rFonts w:hint="eastAsia" w:ascii="Calibri" w:hAnsi="Calibri" w:eastAsia="宋体" w:cs="Times New Roman"/>
                <w:highlight w:val="none"/>
              </w:rPr>
              <w:t>农村集体“三资”资金登记，做到资金、资产、资源底数清、内容全。</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kern w:val="0"/>
                <w:szCs w:val="21"/>
                <w:highlight w:val="none"/>
              </w:rPr>
            </w:pPr>
            <w:r>
              <w:rPr>
                <w:rFonts w:hint="eastAsia" w:ascii="Calibri" w:hAnsi="Calibri" w:eastAsia="宋体" w:cs="Times New Roman"/>
                <w:kern w:val="0"/>
                <w:szCs w:val="21"/>
                <w:highlight w:val="none"/>
              </w:rPr>
              <w:t>6、社会效益指标：食品药品安全、</w:t>
            </w:r>
            <w:r>
              <w:rPr>
                <w:rFonts w:ascii="Calibri" w:hAnsi="Calibri" w:eastAsia="宋体" w:cs="Times New Roman"/>
                <w:kern w:val="0"/>
                <w:szCs w:val="21"/>
                <w:highlight w:val="none"/>
              </w:rPr>
              <w:t>疫病防控</w:t>
            </w:r>
            <w:r>
              <w:rPr>
                <w:rFonts w:hint="eastAsia" w:ascii="Calibri" w:hAnsi="Calibri" w:eastAsia="宋体" w:cs="Times New Roman"/>
                <w:kern w:val="0"/>
                <w:szCs w:val="21"/>
                <w:highlight w:val="none"/>
              </w:rPr>
              <w:t>工作进一步加强，实现保证质量、预防为主的良好态势。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283" w:type="dxa"/>
            <w:vMerge w:val="continue"/>
            <w:vAlign w:val="center"/>
          </w:tcPr>
          <w:p>
            <w:pPr>
              <w:widowControl/>
              <w:jc w:val="center"/>
              <w:rPr>
                <w:rFonts w:ascii="宋体" w:hAnsi="宋体"/>
                <w:kern w:val="0"/>
                <w:szCs w:val="21"/>
                <w:highlight w:val="none"/>
              </w:rPr>
            </w:pPr>
          </w:p>
        </w:tc>
        <w:tc>
          <w:tcPr>
            <w:tcW w:w="1860" w:type="dxa"/>
            <w:gridSpan w:val="2"/>
            <w:vAlign w:val="center"/>
          </w:tcPr>
          <w:p>
            <w:pPr>
              <w:widowControl/>
              <w:jc w:val="left"/>
              <w:rPr>
                <w:kern w:val="0"/>
                <w:szCs w:val="21"/>
                <w:highlight w:val="none"/>
              </w:rPr>
            </w:pPr>
            <w:r>
              <w:rPr>
                <w:rFonts w:hint="eastAsia"/>
                <w:kern w:val="0"/>
                <w:szCs w:val="21"/>
                <w:highlight w:val="none"/>
              </w:rPr>
              <w:t>绩效目标内容8：</w:t>
            </w:r>
          </w:p>
          <w:p>
            <w:pPr>
              <w:widowControl/>
              <w:jc w:val="left"/>
              <w:rPr>
                <w:kern w:val="0"/>
                <w:szCs w:val="21"/>
                <w:highlight w:val="none"/>
              </w:rPr>
            </w:pPr>
            <w:r>
              <w:rPr>
                <w:highlight w:val="none"/>
              </w:rPr>
              <w:t>基层组织建设</w:t>
            </w:r>
          </w:p>
        </w:tc>
        <w:tc>
          <w:tcPr>
            <w:tcW w:w="6497" w:type="dxa"/>
            <w:gridSpan w:val="5"/>
            <w:vAlign w:val="center"/>
          </w:tcPr>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highlight w:val="none"/>
              </w:rPr>
            </w:pPr>
            <w:r>
              <w:rPr>
                <w:rFonts w:hint="eastAsia"/>
                <w:highlight w:val="none"/>
              </w:rPr>
              <w:t>1、</w:t>
            </w:r>
            <w:r>
              <w:rPr>
                <w:rFonts w:hint="eastAsia"/>
                <w:highlight w:val="none"/>
                <w:lang w:val="en-US" w:eastAsia="zh-CN"/>
              </w:rPr>
              <w:t>大力推进学习强国APP，</w:t>
            </w:r>
            <w:r>
              <w:rPr>
                <w:rFonts w:hint="eastAsia"/>
                <w:highlight w:val="none"/>
              </w:rPr>
              <w:t>深入开展十九大会议精神学习，通过会议集中学习讨论和干部</w:t>
            </w:r>
            <w:r>
              <w:rPr>
                <w:rFonts w:hint="eastAsia"/>
                <w:highlight w:val="none"/>
                <w:lang w:val="en-US" w:eastAsia="zh-CN"/>
              </w:rPr>
              <w:t>APP</w:t>
            </w:r>
            <w:r>
              <w:rPr>
                <w:rFonts w:hint="eastAsia"/>
                <w:highlight w:val="none"/>
              </w:rPr>
              <w:t>自学，不断用先进理论武装干部队伍，增强贯彻上级精神的自觉性和坚定性。开展干部教育培训，努力消除干部的旧思想、旧观念、旧思维、旧习惯，培养战略眼光、全局思维、创新精神、实干作风，克服“本领恐慌”，不断提高服务群众的本领。</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highlight w:val="none"/>
              </w:rPr>
            </w:pPr>
            <w:r>
              <w:rPr>
                <w:rFonts w:hint="eastAsia"/>
                <w:highlight w:val="none"/>
              </w:rPr>
              <w:t>2、</w:t>
            </w:r>
            <w:r>
              <w:rPr>
                <w:highlight w:val="none"/>
              </w:rPr>
              <w:t>完成全</w:t>
            </w:r>
            <w:r>
              <w:rPr>
                <w:rFonts w:hint="eastAsia"/>
                <w:highlight w:val="none"/>
                <w:lang w:eastAsia="zh-CN"/>
              </w:rPr>
              <w:t>乡</w:t>
            </w:r>
            <w:r>
              <w:rPr>
                <w:rFonts w:hint="eastAsia"/>
                <w:highlight w:val="none"/>
                <w:lang w:val="en-US" w:eastAsia="zh-CN"/>
              </w:rPr>
              <w:t>12</w:t>
            </w:r>
            <w:r>
              <w:rPr>
                <w:highlight w:val="none"/>
              </w:rPr>
              <w:t>个党支部党费收缴工作。</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highlight w:val="none"/>
              </w:rPr>
            </w:pPr>
            <w:r>
              <w:rPr>
                <w:rFonts w:hint="eastAsia"/>
                <w:highlight w:val="none"/>
              </w:rPr>
              <w:t>3、</w:t>
            </w:r>
            <w:r>
              <w:rPr>
                <w:rFonts w:hint="eastAsia"/>
                <w:highlight w:val="none"/>
                <w:lang w:val="en-US" w:eastAsia="zh-CN"/>
              </w:rPr>
              <w:t>12</w:t>
            </w:r>
            <w:r>
              <w:rPr>
                <w:highlight w:val="none"/>
              </w:rPr>
              <w:t>个行政村</w:t>
            </w:r>
            <w:r>
              <w:rPr>
                <w:rFonts w:hint="eastAsia"/>
                <w:highlight w:val="none"/>
              </w:rPr>
              <w:t>完成</w:t>
            </w:r>
            <w:r>
              <w:rPr>
                <w:highlight w:val="none"/>
              </w:rPr>
              <w:t>远程教育接收站点检修工作，各个村均配备了电脑和相关接收设备，每个月都有远程培训专题课程安排。各站点远程教育工作制度规范上墙，并由专门人员担任远程教育操作员，利用远程教育不定期对党员群众进行农业科学技术培训。</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highlight w:val="none"/>
              </w:rPr>
            </w:pPr>
            <w:r>
              <w:rPr>
                <w:rFonts w:hint="eastAsia"/>
                <w:highlight w:val="none"/>
              </w:rPr>
              <w:t>4、加强基层组织建设。加深乡村干部党建知识学习，配强配优村级干部力量，不断提高村级组织带领群众致富、建设社会主义新农村的本领。推进两个专项整治活动常态化、长效化，促进反腐倡廉工作深入开展，营造和谐的干群关系。</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highlight w:val="none"/>
              </w:rPr>
            </w:pPr>
            <w:r>
              <w:rPr>
                <w:rFonts w:hint="eastAsia"/>
                <w:highlight w:val="none"/>
              </w:rPr>
              <w:t>5、加强干部队伍建设。加大对干部队伍的建设力度，制定干部上班签到、出差、请假审批以及绩效考评制度，培养一批思想好、本能强、业绩优、形象佳的干部，形成一种向上风气，让干事的干部有荣誉感，让不干事的干部有危机感，激励干部想干事、敢干事、能干事、干成事，由此带动全乡形成一股汹涌澎湃的干事创业激流。</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highlight w:val="none"/>
              </w:rPr>
            </w:pPr>
            <w:r>
              <w:rPr>
                <w:rFonts w:hint="eastAsia"/>
                <w:highlight w:val="none"/>
              </w:rPr>
              <w:t>6、</w:t>
            </w:r>
            <w:r>
              <w:rPr>
                <w:highlight w:val="none"/>
              </w:rPr>
              <w:t>老干工作和关心下一代工作正常开展。</w:t>
            </w:r>
          </w:p>
          <w:p>
            <w:pPr>
              <w:keepNext w:val="0"/>
              <w:keepLines w:val="0"/>
              <w:pageBreakBefore w:val="0"/>
              <w:kinsoku/>
              <w:wordWrap/>
              <w:overflowPunct/>
              <w:topLinePunct w:val="0"/>
              <w:autoSpaceDE/>
              <w:autoSpaceDN/>
              <w:bidi w:val="0"/>
              <w:adjustRightInd/>
              <w:snapToGrid/>
              <w:spacing w:line="480" w:lineRule="exact"/>
              <w:ind w:firstLine="420" w:firstLineChars="200"/>
              <w:textAlignment w:val="auto"/>
              <w:rPr>
                <w:kern w:val="0"/>
                <w:szCs w:val="21"/>
                <w:highlight w:val="none"/>
              </w:rPr>
            </w:pPr>
            <w:r>
              <w:rPr>
                <w:rFonts w:hint="eastAsia"/>
                <w:highlight w:val="none"/>
              </w:rPr>
              <w:t>7、</w:t>
            </w:r>
            <w:r>
              <w:rPr>
                <w:highlight w:val="none"/>
              </w:rPr>
              <w:t>落实</w:t>
            </w:r>
            <w:r>
              <w:rPr>
                <w:rFonts w:hint="eastAsia"/>
                <w:highlight w:val="none"/>
              </w:rPr>
              <w:t>每周</w:t>
            </w:r>
            <w:r>
              <w:rPr>
                <w:highlight w:val="none"/>
              </w:rPr>
              <w:t>例会制度。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283" w:type="dxa"/>
            <w:vMerge w:val="continue"/>
            <w:vAlign w:val="center"/>
          </w:tcPr>
          <w:p>
            <w:pPr>
              <w:widowControl/>
              <w:jc w:val="center"/>
              <w:rPr>
                <w:rFonts w:ascii="宋体" w:hAnsi="宋体"/>
                <w:kern w:val="0"/>
                <w:szCs w:val="21"/>
                <w:highlight w:val="none"/>
              </w:rPr>
            </w:pPr>
          </w:p>
        </w:tc>
        <w:tc>
          <w:tcPr>
            <w:tcW w:w="1860" w:type="dxa"/>
            <w:gridSpan w:val="2"/>
            <w:vAlign w:val="center"/>
          </w:tcPr>
          <w:p>
            <w:pPr>
              <w:widowControl/>
              <w:jc w:val="left"/>
              <w:rPr>
                <w:rFonts w:hint="eastAsia"/>
                <w:kern w:val="0"/>
                <w:szCs w:val="21"/>
                <w:highlight w:val="none"/>
              </w:rPr>
            </w:pPr>
          </w:p>
        </w:tc>
        <w:tc>
          <w:tcPr>
            <w:tcW w:w="6497" w:type="dxa"/>
            <w:gridSpan w:val="5"/>
            <w:vAlign w:val="center"/>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kern w:val="0"/>
                <w:szCs w:val="21"/>
                <w:highlight w:val="none"/>
              </w:rPr>
            </w:pPr>
            <w:r>
              <w:rPr>
                <w:rFonts w:ascii="Calibri" w:hAnsi="Calibri" w:eastAsia="宋体" w:cs="Times New Roman"/>
                <w:kern w:val="0"/>
                <w:szCs w:val="21"/>
                <w:highlight w:val="none"/>
              </w:rPr>
              <w:t>效益指标</w:t>
            </w:r>
            <w:r>
              <w:rPr>
                <w:rFonts w:hint="eastAsia" w:ascii="Calibri" w:hAnsi="Calibri" w:eastAsia="宋体" w:cs="Times New Roman"/>
                <w:kern w:val="0"/>
                <w:szCs w:val="21"/>
                <w:highlight w:val="none"/>
              </w:rPr>
              <w:t>：</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Calibri" w:hAnsi="Calibri" w:eastAsia="宋体" w:cs="Times New Roman"/>
                <w:kern w:val="0"/>
                <w:szCs w:val="21"/>
                <w:highlight w:val="none"/>
              </w:rPr>
            </w:pPr>
            <w:r>
              <w:rPr>
                <w:rFonts w:hint="eastAsia" w:ascii="Calibri" w:hAnsi="Calibri" w:eastAsia="宋体" w:cs="Times New Roman"/>
                <w:kern w:val="0"/>
                <w:szCs w:val="21"/>
                <w:highlight w:val="none"/>
              </w:rPr>
              <w:t>1、可持续影响指标：深入开展党的建设，提高了全</w:t>
            </w:r>
            <w:r>
              <w:rPr>
                <w:rFonts w:hint="eastAsia" w:ascii="Calibri" w:hAnsi="Calibri" w:eastAsia="宋体" w:cs="Times New Roman"/>
                <w:kern w:val="0"/>
                <w:szCs w:val="21"/>
                <w:highlight w:val="none"/>
                <w:lang w:eastAsia="zh-CN"/>
              </w:rPr>
              <w:t>乡</w:t>
            </w:r>
            <w:r>
              <w:rPr>
                <w:rFonts w:hint="eastAsia" w:ascii="Calibri" w:hAnsi="Calibri" w:eastAsia="宋体" w:cs="Times New Roman"/>
                <w:kern w:val="0"/>
                <w:szCs w:val="21"/>
                <w:highlight w:val="none"/>
              </w:rPr>
              <w:t>党员干部的思想认识，加快了阳光型、服务型政府的建设。</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highlight w:val="none"/>
              </w:rPr>
            </w:pPr>
            <w:r>
              <w:rPr>
                <w:rFonts w:hint="eastAsia" w:ascii="Calibri" w:hAnsi="Calibri" w:eastAsia="宋体" w:cs="Times New Roman"/>
                <w:highlight w:val="none"/>
              </w:rPr>
              <w:t>2、</w:t>
            </w:r>
            <w:r>
              <w:rPr>
                <w:rFonts w:hint="eastAsia" w:ascii="Calibri" w:hAnsi="Calibri" w:eastAsia="宋体" w:cs="Times New Roman"/>
                <w:kern w:val="0"/>
                <w:szCs w:val="21"/>
                <w:highlight w:val="none"/>
              </w:rPr>
              <w:t>可持续影响指标：</w:t>
            </w:r>
            <w:r>
              <w:rPr>
                <w:rFonts w:hint="eastAsia" w:ascii="Calibri" w:hAnsi="Calibri" w:eastAsia="宋体" w:cs="Times New Roman"/>
                <w:highlight w:val="none"/>
              </w:rPr>
              <w:t>发挥基层党组织先锋模范和战斗堡垒作用，带动全乡建强基层组织。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283" w:type="dxa"/>
            <w:vMerge w:val="continue"/>
            <w:vAlign w:val="center"/>
          </w:tcPr>
          <w:p>
            <w:pPr>
              <w:widowControl/>
              <w:jc w:val="center"/>
              <w:rPr>
                <w:rFonts w:ascii="宋体" w:hAnsi="宋体"/>
                <w:kern w:val="0"/>
                <w:szCs w:val="21"/>
                <w:highlight w:val="none"/>
              </w:rPr>
            </w:pPr>
          </w:p>
        </w:tc>
        <w:tc>
          <w:tcPr>
            <w:tcW w:w="1860" w:type="dxa"/>
            <w:gridSpan w:val="2"/>
            <w:vAlign w:val="center"/>
          </w:tcPr>
          <w:p>
            <w:pPr>
              <w:widowControl/>
              <w:jc w:val="left"/>
              <w:rPr>
                <w:kern w:val="0"/>
                <w:szCs w:val="21"/>
                <w:highlight w:val="none"/>
              </w:rPr>
            </w:pPr>
            <w:r>
              <w:rPr>
                <w:rFonts w:hint="eastAsia"/>
                <w:kern w:val="0"/>
                <w:szCs w:val="21"/>
                <w:highlight w:val="none"/>
              </w:rPr>
              <w:t>绩效目标内容9：</w:t>
            </w:r>
          </w:p>
          <w:p>
            <w:pPr>
              <w:widowControl/>
              <w:jc w:val="left"/>
              <w:rPr>
                <w:kern w:val="0"/>
                <w:szCs w:val="21"/>
                <w:highlight w:val="none"/>
              </w:rPr>
            </w:pPr>
            <w:r>
              <w:rPr>
                <w:highlight w:val="none"/>
              </w:rPr>
              <w:t>民情服务中心规范化建设与管理</w:t>
            </w:r>
          </w:p>
        </w:tc>
        <w:tc>
          <w:tcPr>
            <w:tcW w:w="6497" w:type="dxa"/>
            <w:gridSpan w:val="5"/>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kern w:val="0"/>
                <w:szCs w:val="21"/>
                <w:highlight w:val="none"/>
              </w:rPr>
            </w:pPr>
            <w:r>
              <w:rPr>
                <w:highlight w:val="none"/>
              </w:rPr>
              <w:t>完善“民情受理中心”，打造</w:t>
            </w:r>
            <w:r>
              <w:rPr>
                <w:rFonts w:hint="eastAsia"/>
                <w:highlight w:val="none"/>
              </w:rPr>
              <w:t>我</w:t>
            </w:r>
            <w:r>
              <w:rPr>
                <w:highlight w:val="none"/>
              </w:rPr>
              <w:t>乡民情服务中心，将</w:t>
            </w:r>
            <w:r>
              <w:rPr>
                <w:rFonts w:hint="eastAsia"/>
                <w:highlight w:val="none"/>
                <w:lang w:val="en-US" w:eastAsia="zh-CN"/>
              </w:rPr>
              <w:t>三个中心</w:t>
            </w:r>
            <w:r>
              <w:rPr>
                <w:highlight w:val="none"/>
              </w:rPr>
              <w:t>整合到民情服务中心集中办公，并建立</w:t>
            </w:r>
            <w:r>
              <w:rPr>
                <w:rFonts w:hint="eastAsia"/>
                <w:highlight w:val="none"/>
              </w:rPr>
              <w:t>我</w:t>
            </w:r>
            <w:r>
              <w:rPr>
                <w:highlight w:val="none"/>
              </w:rPr>
              <w:t>乡民情服务中心台账，通过一站式的高效便民服务，切实转变基层站所的工作作风</w:t>
            </w:r>
            <w:r>
              <w:rPr>
                <w:rFonts w:hint="eastAsia"/>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83" w:type="dxa"/>
            <w:vAlign w:val="center"/>
          </w:tcPr>
          <w:p>
            <w:pPr>
              <w:widowControl/>
              <w:jc w:val="center"/>
              <w:rPr>
                <w:rFonts w:ascii="宋体" w:hAnsi="宋体"/>
                <w:kern w:val="0"/>
                <w:szCs w:val="21"/>
                <w:highlight w:val="none"/>
              </w:rPr>
            </w:pPr>
          </w:p>
        </w:tc>
        <w:tc>
          <w:tcPr>
            <w:tcW w:w="1860" w:type="dxa"/>
            <w:gridSpan w:val="2"/>
            <w:vAlign w:val="center"/>
          </w:tcPr>
          <w:p>
            <w:pPr>
              <w:widowControl/>
              <w:jc w:val="left"/>
              <w:rPr>
                <w:rFonts w:hint="eastAsia"/>
                <w:kern w:val="0"/>
                <w:szCs w:val="21"/>
                <w:highlight w:val="none"/>
              </w:rPr>
            </w:pPr>
          </w:p>
        </w:tc>
        <w:tc>
          <w:tcPr>
            <w:tcW w:w="6497" w:type="dxa"/>
            <w:gridSpan w:val="5"/>
            <w:vAlign w:val="center"/>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kern w:val="0"/>
                <w:szCs w:val="21"/>
                <w:highlight w:val="none"/>
              </w:rPr>
            </w:pPr>
            <w:r>
              <w:rPr>
                <w:rFonts w:ascii="Calibri" w:hAnsi="Calibri" w:eastAsia="宋体" w:cs="Times New Roman"/>
                <w:kern w:val="0"/>
                <w:szCs w:val="21"/>
                <w:highlight w:val="none"/>
              </w:rPr>
              <w:t>效益指标</w:t>
            </w:r>
            <w:r>
              <w:rPr>
                <w:rFonts w:hint="eastAsia" w:ascii="Calibri" w:hAnsi="Calibri" w:eastAsia="宋体" w:cs="Times New Roman"/>
                <w:kern w:val="0"/>
                <w:szCs w:val="21"/>
                <w:highlight w:val="none"/>
              </w:rPr>
              <w:t>：</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Calibri" w:hAnsi="Calibri" w:eastAsia="宋体" w:cs="Times New Roman"/>
                <w:kern w:val="0"/>
                <w:szCs w:val="21"/>
                <w:highlight w:val="none"/>
              </w:rPr>
            </w:pPr>
            <w:r>
              <w:rPr>
                <w:rFonts w:hint="eastAsia" w:ascii="Calibri" w:hAnsi="Calibri" w:eastAsia="宋体" w:cs="Times New Roman"/>
                <w:kern w:val="0"/>
                <w:szCs w:val="21"/>
                <w:highlight w:val="none"/>
              </w:rPr>
              <w:t>1、可持续影响指标：民情服务中心达到实体运作，人员、场地、设施、制度、保障“五落实”。</w:t>
            </w:r>
          </w:p>
          <w:p>
            <w:pPr>
              <w:keepNext w:val="0"/>
              <w:keepLines w:val="0"/>
              <w:pageBreakBefore w:val="0"/>
              <w:kinsoku/>
              <w:wordWrap/>
              <w:overflowPunct/>
              <w:topLinePunct w:val="0"/>
              <w:autoSpaceDE/>
              <w:autoSpaceDN/>
              <w:bidi w:val="0"/>
              <w:adjustRightInd/>
              <w:snapToGrid/>
              <w:spacing w:line="480" w:lineRule="exact"/>
              <w:textAlignment w:val="auto"/>
              <w:rPr>
                <w:rFonts w:hint="eastAsia"/>
                <w:highlight w:val="none"/>
              </w:rPr>
            </w:pPr>
            <w:r>
              <w:rPr>
                <w:rFonts w:hint="eastAsia" w:ascii="Calibri" w:hAnsi="Calibri" w:eastAsia="宋体" w:cs="Times New Roman"/>
                <w:kern w:val="0"/>
                <w:szCs w:val="21"/>
                <w:highlight w:val="none"/>
              </w:rPr>
              <w:t>2、社会公众或服务对象满意度指标：群众办事达到“一站式”效果，做到简政增效，群众满意度</w:t>
            </w:r>
            <w:r>
              <w:rPr>
                <w:rFonts w:hint="eastAsia" w:ascii="Calibri" w:hAnsi="Calibri" w:eastAsia="宋体" w:cs="Times New Roman"/>
                <w:kern w:val="0"/>
                <w:szCs w:val="21"/>
                <w:highlight w:val="none"/>
                <w:lang w:val="en-US" w:eastAsia="zh-CN"/>
              </w:rPr>
              <w:t>95%以上</w:t>
            </w:r>
            <w:r>
              <w:rPr>
                <w:rFonts w:hint="eastAsia" w:ascii="Calibri" w:hAnsi="Calibri" w:eastAsia="宋体" w:cs="Times New Roman"/>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283" w:type="dxa"/>
            <w:vAlign w:val="center"/>
          </w:tcPr>
          <w:p>
            <w:pPr>
              <w:widowControl/>
              <w:jc w:val="center"/>
              <w:rPr>
                <w:rFonts w:ascii="宋体" w:hAnsi="宋体"/>
                <w:kern w:val="0"/>
                <w:szCs w:val="21"/>
                <w:highlight w:val="none"/>
              </w:rPr>
            </w:pPr>
          </w:p>
        </w:tc>
        <w:tc>
          <w:tcPr>
            <w:tcW w:w="1860" w:type="dxa"/>
            <w:gridSpan w:val="2"/>
            <w:vAlign w:val="center"/>
          </w:tcPr>
          <w:p>
            <w:pPr>
              <w:widowControl/>
              <w:jc w:val="left"/>
              <w:rPr>
                <w:kern w:val="0"/>
                <w:szCs w:val="21"/>
                <w:highlight w:val="none"/>
              </w:rPr>
            </w:pPr>
            <w:r>
              <w:rPr>
                <w:rFonts w:hint="eastAsia"/>
                <w:kern w:val="0"/>
                <w:szCs w:val="21"/>
                <w:highlight w:val="none"/>
              </w:rPr>
              <w:t>绩效目标内容10：</w:t>
            </w:r>
          </w:p>
          <w:p>
            <w:pPr>
              <w:widowControl/>
              <w:jc w:val="left"/>
              <w:rPr>
                <w:kern w:val="0"/>
                <w:szCs w:val="21"/>
                <w:highlight w:val="none"/>
              </w:rPr>
            </w:pPr>
            <w:r>
              <w:rPr>
                <w:highlight w:val="none"/>
              </w:rPr>
              <w:t>党委工作与党风廉政建设</w:t>
            </w:r>
          </w:p>
        </w:tc>
        <w:tc>
          <w:tcPr>
            <w:tcW w:w="6497" w:type="dxa"/>
            <w:gridSpan w:val="5"/>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Calibri" w:hAnsi="Calibri" w:eastAsia="宋体" w:cs="Times New Roman"/>
                <w:highlight w:val="none"/>
              </w:rPr>
            </w:pPr>
            <w:r>
              <w:rPr>
                <w:rFonts w:hint="eastAsia"/>
                <w:highlight w:val="none"/>
              </w:rPr>
              <w:t xml:space="preserve">    </w:t>
            </w:r>
            <w:r>
              <w:rPr>
                <w:rFonts w:ascii="Calibri" w:hAnsi="Calibri" w:eastAsia="宋体" w:cs="Times New Roman"/>
                <w:highlight w:val="none"/>
              </w:rPr>
              <w:t>1、</w:t>
            </w:r>
            <w:r>
              <w:rPr>
                <w:rFonts w:hint="eastAsia" w:ascii="Calibri" w:hAnsi="Calibri" w:eastAsia="宋体" w:cs="Times New Roman"/>
                <w:highlight w:val="none"/>
              </w:rPr>
              <w:t>构建</w:t>
            </w:r>
            <w:r>
              <w:rPr>
                <w:rFonts w:ascii="Calibri" w:hAnsi="Calibri" w:eastAsia="宋体" w:cs="Times New Roman"/>
                <w:highlight w:val="none"/>
              </w:rPr>
              <w:t>预防和惩治腐败体系。严格落实预防和惩治腐败体系建设，年初有公开承诺书，年末有述职述廉报告。</w:t>
            </w:r>
            <w:r>
              <w:rPr>
                <w:rFonts w:hint="eastAsia" w:ascii="Calibri" w:hAnsi="Calibri" w:eastAsia="宋体" w:cs="Times New Roman"/>
                <w:highlight w:val="none"/>
              </w:rPr>
              <w:t>在</w:t>
            </w:r>
            <w:r>
              <w:rPr>
                <w:rFonts w:hint="eastAsia" w:ascii="Calibri" w:hAnsi="Calibri" w:eastAsia="宋体" w:cs="Times New Roman"/>
                <w:highlight w:val="none"/>
                <w:lang w:val="en-US" w:eastAsia="zh-CN"/>
              </w:rPr>
              <w:t>12</w:t>
            </w:r>
            <w:r>
              <w:rPr>
                <w:rFonts w:hint="eastAsia" w:ascii="Calibri" w:hAnsi="Calibri" w:eastAsia="宋体" w:cs="Times New Roman"/>
                <w:highlight w:val="none"/>
              </w:rPr>
              <w:t>个村每村设立1个“雁过拔毛”式腐败问题举报箱收集群众举报信息，各村每月上报1次，乡里每月汇总当月信息报送至县纪检会信访办公室。</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Calibri" w:hAnsi="Calibri" w:eastAsia="宋体" w:cs="Times New Roman"/>
                <w:highlight w:val="none"/>
              </w:rPr>
            </w:pPr>
            <w:r>
              <w:rPr>
                <w:rFonts w:hint="eastAsia" w:ascii="Calibri" w:hAnsi="Calibri" w:eastAsia="宋体" w:cs="Times New Roman"/>
                <w:highlight w:val="none"/>
              </w:rPr>
              <w:t xml:space="preserve">    </w:t>
            </w:r>
            <w:r>
              <w:rPr>
                <w:rFonts w:ascii="Calibri" w:hAnsi="Calibri" w:eastAsia="宋体" w:cs="Times New Roman"/>
                <w:highlight w:val="none"/>
              </w:rPr>
              <w:t>2、作风效能建设。严格落实《</w:t>
            </w:r>
            <w:r>
              <w:rPr>
                <w:rFonts w:hint="eastAsia" w:ascii="Calibri" w:hAnsi="Calibri" w:eastAsia="宋体" w:cs="Times New Roman"/>
                <w:highlight w:val="none"/>
                <w:lang w:eastAsia="zh-CN"/>
              </w:rPr>
              <w:t>东山乡</w:t>
            </w:r>
            <w:r>
              <w:rPr>
                <w:rFonts w:ascii="Calibri" w:hAnsi="Calibri" w:eastAsia="宋体" w:cs="Times New Roman"/>
                <w:highlight w:val="none"/>
              </w:rPr>
              <w:t>干部职工管理制度》，严格考勤。执行24小时值班制度，无论工作日、“双休日”或节假日，至少有1名班子成员带班、</w:t>
            </w:r>
            <w:r>
              <w:rPr>
                <w:rFonts w:hint="eastAsia" w:ascii="Calibri" w:hAnsi="Calibri" w:eastAsia="宋体" w:cs="Times New Roman"/>
                <w:highlight w:val="none"/>
              </w:rPr>
              <w:t>4</w:t>
            </w:r>
            <w:r>
              <w:rPr>
                <w:rFonts w:ascii="Calibri" w:hAnsi="Calibri" w:eastAsia="宋体" w:cs="Times New Roman"/>
                <w:highlight w:val="none"/>
              </w:rPr>
              <w:t>名干部值班；24小时有人接听并能办理来电事项，添置签到指纹机</w:t>
            </w:r>
            <w:r>
              <w:rPr>
                <w:rFonts w:hint="eastAsia" w:ascii="Calibri" w:hAnsi="Calibri" w:eastAsia="宋体" w:cs="Times New Roman"/>
                <w:highlight w:val="none"/>
              </w:rPr>
              <w:t>1台进</w:t>
            </w:r>
            <w:r>
              <w:rPr>
                <w:rFonts w:ascii="Calibri" w:hAnsi="Calibri" w:eastAsia="宋体" w:cs="Times New Roman"/>
                <w:highlight w:val="none"/>
              </w:rPr>
              <w:t>行早晚签到，杜绝干部脱岗。全体干部每天24小时手机开机，对不认真执行带班值班制度，出现带班领导不到岗、值班人员空岗和联系渠道不畅通等现象，一经查实追究负责人和当事人责任。通过狠抓干部日常管理，目前干部没有走读现象，干部队伍风清气正，各项工作有条不紊开展。</w:t>
            </w:r>
          </w:p>
          <w:p>
            <w:pPr>
              <w:keepNext w:val="0"/>
              <w:keepLines w:val="0"/>
              <w:pageBreakBefore w:val="0"/>
              <w:kinsoku/>
              <w:wordWrap/>
              <w:overflowPunct/>
              <w:topLinePunct w:val="0"/>
              <w:autoSpaceDE/>
              <w:autoSpaceDN/>
              <w:bidi w:val="0"/>
              <w:adjustRightInd/>
              <w:snapToGrid/>
              <w:spacing w:line="480" w:lineRule="exact"/>
              <w:ind w:firstLine="420"/>
              <w:textAlignment w:val="auto"/>
              <w:rPr>
                <w:rFonts w:ascii="Calibri" w:hAnsi="Calibri" w:eastAsia="宋体" w:cs="Times New Roman"/>
                <w:highlight w:val="none"/>
              </w:rPr>
            </w:pPr>
            <w:r>
              <w:rPr>
                <w:rFonts w:ascii="Calibri" w:hAnsi="Calibri" w:eastAsia="宋体" w:cs="Times New Roman"/>
                <w:highlight w:val="none"/>
              </w:rPr>
              <w:t>3、农村基层党风廉政建设。一是与</w:t>
            </w:r>
            <w:r>
              <w:rPr>
                <w:rFonts w:hint="eastAsia" w:ascii="Calibri" w:hAnsi="Calibri" w:eastAsia="宋体" w:cs="Times New Roman"/>
                <w:highlight w:val="none"/>
                <w:lang w:val="en-US" w:eastAsia="zh-CN"/>
              </w:rPr>
              <w:t>12</w:t>
            </w:r>
            <w:r>
              <w:rPr>
                <w:rFonts w:ascii="Calibri" w:hAnsi="Calibri" w:eastAsia="宋体" w:cs="Times New Roman"/>
                <w:highlight w:val="none"/>
              </w:rPr>
              <w:t>个村党支部签订党风廉政建设目标管理责任状，并要求各村出具党员公开承诺书、基层党组织公开承诺书，违背承诺将从严追责。二是</w:t>
            </w:r>
            <w:r>
              <w:rPr>
                <w:rFonts w:hint="eastAsia"/>
                <w:highlight w:val="none"/>
              </w:rPr>
              <w:t>及时更新互联网加监督平台</w:t>
            </w:r>
            <w:bookmarkStart w:id="0" w:name="_GoBack"/>
            <w:bookmarkEnd w:id="0"/>
            <w:r>
              <w:rPr>
                <w:rFonts w:hint="eastAsia"/>
                <w:highlight w:val="none"/>
              </w:rPr>
              <w:t>数据</w:t>
            </w:r>
            <w:r>
              <w:rPr>
                <w:rFonts w:ascii="Calibri" w:hAnsi="Calibri" w:eastAsia="宋体" w:cs="Times New Roman"/>
                <w:highlight w:val="none"/>
              </w:rPr>
              <w:t>，</w:t>
            </w:r>
            <w:r>
              <w:rPr>
                <w:rFonts w:hint="eastAsia" w:ascii="Calibri" w:hAnsi="Calibri" w:eastAsia="宋体" w:cs="Times New Roman"/>
                <w:highlight w:val="none"/>
              </w:rPr>
              <w:t>将各村财务信息及时</w:t>
            </w:r>
            <w:r>
              <w:rPr>
                <w:rFonts w:hint="eastAsia"/>
                <w:highlight w:val="none"/>
              </w:rPr>
              <w:t>做账</w:t>
            </w:r>
            <w:r>
              <w:rPr>
                <w:rFonts w:hint="eastAsia" w:ascii="Calibri" w:hAnsi="Calibri" w:eastAsia="宋体" w:cs="Times New Roman"/>
                <w:highlight w:val="none"/>
              </w:rPr>
              <w:t>，</w:t>
            </w:r>
            <w:r>
              <w:rPr>
                <w:rFonts w:hint="eastAsia"/>
                <w:highlight w:val="none"/>
              </w:rPr>
              <w:t>将原始凭证进行录入上传</w:t>
            </w:r>
            <w:r>
              <w:rPr>
                <w:rFonts w:hint="eastAsia" w:ascii="Calibri" w:hAnsi="Calibri" w:eastAsia="宋体" w:cs="Times New Roman"/>
                <w:highlight w:val="none"/>
              </w:rPr>
              <w:t>。</w:t>
            </w:r>
          </w:p>
          <w:p>
            <w:pPr>
              <w:keepNext w:val="0"/>
              <w:keepLines w:val="0"/>
              <w:pageBreakBefore w:val="0"/>
              <w:widowControl/>
              <w:kinsoku/>
              <w:wordWrap/>
              <w:overflowPunct/>
              <w:topLinePunct w:val="0"/>
              <w:autoSpaceDE/>
              <w:autoSpaceDN/>
              <w:bidi w:val="0"/>
              <w:adjustRightInd/>
              <w:snapToGrid/>
              <w:spacing w:line="480" w:lineRule="exact"/>
              <w:ind w:firstLine="420" w:firstLineChars="200"/>
              <w:jc w:val="left"/>
              <w:textAlignment w:val="auto"/>
              <w:rPr>
                <w:kern w:val="0"/>
                <w:szCs w:val="21"/>
                <w:highlight w:val="none"/>
              </w:rPr>
            </w:pPr>
            <w:r>
              <w:rPr>
                <w:rFonts w:ascii="Calibri" w:hAnsi="Calibri" w:eastAsia="宋体" w:cs="Times New Roman"/>
                <w:highlight w:val="none"/>
              </w:rPr>
              <w:t>4、宣传及舆情控制。开展社会主义核心价值观宣传教育活动</w:t>
            </w:r>
            <w:r>
              <w:rPr>
                <w:rFonts w:hint="eastAsia" w:ascii="Calibri" w:hAnsi="Calibri" w:eastAsia="宋体" w:cs="Times New Roman"/>
                <w:highlight w:val="none"/>
              </w:rPr>
              <w:t>3</w:t>
            </w:r>
            <w:r>
              <w:rPr>
                <w:rFonts w:ascii="Calibri" w:hAnsi="Calibri" w:eastAsia="宋体" w:cs="Times New Roman"/>
                <w:highlight w:val="none"/>
              </w:rPr>
              <w:t>次；坚持周五学习制度；及时处理负面舆情</w:t>
            </w:r>
            <w:r>
              <w:rPr>
                <w:rFonts w:hint="eastAsia" w:ascii="Calibri" w:hAnsi="Calibri" w:eastAsia="宋体" w:cs="Times New Roman"/>
                <w:highlight w:val="none"/>
                <w:lang w:val="en-US" w:eastAsia="zh-CN"/>
              </w:rPr>
              <w:t>1</w:t>
            </w:r>
            <w:r>
              <w:rPr>
                <w:rFonts w:ascii="Calibri" w:hAnsi="Calibri" w:eastAsia="宋体" w:cs="Times New Roman"/>
                <w:highlight w:val="none"/>
              </w:rPr>
              <w:t>次，没有造成重大负面舆情。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1283" w:type="dxa"/>
            <w:vAlign w:val="center"/>
          </w:tcPr>
          <w:p>
            <w:pPr>
              <w:widowControl/>
              <w:jc w:val="center"/>
              <w:rPr>
                <w:rFonts w:ascii="宋体" w:hAnsi="宋体"/>
                <w:kern w:val="0"/>
                <w:szCs w:val="21"/>
                <w:highlight w:val="none"/>
              </w:rPr>
            </w:pPr>
          </w:p>
        </w:tc>
        <w:tc>
          <w:tcPr>
            <w:tcW w:w="1860" w:type="dxa"/>
            <w:gridSpan w:val="2"/>
            <w:vAlign w:val="center"/>
          </w:tcPr>
          <w:p>
            <w:pPr>
              <w:widowControl/>
              <w:jc w:val="left"/>
              <w:rPr>
                <w:rFonts w:hint="eastAsia"/>
                <w:kern w:val="0"/>
                <w:szCs w:val="21"/>
                <w:highlight w:val="none"/>
              </w:rPr>
            </w:pPr>
          </w:p>
        </w:tc>
        <w:tc>
          <w:tcPr>
            <w:tcW w:w="6497" w:type="dxa"/>
            <w:gridSpan w:val="5"/>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kern w:val="0"/>
                <w:szCs w:val="21"/>
                <w:highlight w:val="none"/>
              </w:rPr>
            </w:pPr>
            <w:r>
              <w:rPr>
                <w:rFonts w:ascii="Calibri" w:hAnsi="Calibri" w:eastAsia="宋体" w:cs="Times New Roman"/>
                <w:kern w:val="0"/>
                <w:szCs w:val="21"/>
                <w:highlight w:val="none"/>
              </w:rPr>
              <w:t>效益指标</w:t>
            </w:r>
            <w:r>
              <w:rPr>
                <w:rFonts w:hint="eastAsia" w:ascii="Calibri" w:hAnsi="Calibri" w:eastAsia="宋体" w:cs="Times New Roman"/>
                <w:kern w:val="0"/>
                <w:szCs w:val="21"/>
                <w:highlight w:val="none"/>
              </w:rPr>
              <w:t>：</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Calibri" w:hAnsi="Calibri" w:eastAsia="宋体" w:cs="Times New Roman"/>
                <w:highlight w:val="none"/>
                <w:lang w:val="en-US" w:eastAsia="zh-CN"/>
              </w:rPr>
            </w:pPr>
            <w:r>
              <w:rPr>
                <w:rFonts w:hint="eastAsia" w:ascii="Calibri" w:hAnsi="Calibri" w:eastAsia="宋体" w:cs="Times New Roman"/>
                <w:kern w:val="0"/>
                <w:szCs w:val="21"/>
                <w:highlight w:val="none"/>
              </w:rPr>
              <w:t>1、社会公众或服务对象满意度指标：群众对政府各项工作的满意度</w:t>
            </w:r>
            <w:r>
              <w:rPr>
                <w:rFonts w:hint="eastAsia" w:ascii="Calibri" w:hAnsi="Calibri" w:eastAsia="宋体" w:cs="Times New Roman"/>
                <w:kern w:val="0"/>
                <w:szCs w:val="21"/>
                <w:highlight w:val="none"/>
                <w:lang w:val="en-US" w:eastAsia="zh-CN"/>
              </w:rPr>
              <w:t>达到95%以上。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exact"/>
          <w:jc w:val="center"/>
        </w:trPr>
        <w:tc>
          <w:tcPr>
            <w:tcW w:w="1418" w:type="dxa"/>
            <w:gridSpan w:val="2"/>
            <w:vAlign w:val="center"/>
          </w:tcPr>
          <w:p>
            <w:pPr>
              <w:widowControl/>
              <w:rPr>
                <w:rFonts w:eastAsia="宋体"/>
                <w:kern w:val="0"/>
                <w:szCs w:val="21"/>
                <w:highlight w:val="none"/>
              </w:rPr>
            </w:pPr>
            <w:r>
              <w:rPr>
                <w:rFonts w:hint="eastAsia"/>
                <w:kern w:val="0"/>
                <w:szCs w:val="21"/>
                <w:highlight w:val="none"/>
              </w:rPr>
              <w:t>财政部门相关股室（盖章）</w:t>
            </w:r>
          </w:p>
        </w:tc>
        <w:tc>
          <w:tcPr>
            <w:tcW w:w="1725" w:type="dxa"/>
            <w:vAlign w:val="center"/>
          </w:tcPr>
          <w:p>
            <w:pPr>
              <w:widowControl/>
              <w:jc w:val="center"/>
              <w:rPr>
                <w:kern w:val="0"/>
                <w:szCs w:val="21"/>
                <w:highlight w:val="none"/>
              </w:rPr>
            </w:pPr>
          </w:p>
          <w:p>
            <w:pPr>
              <w:widowControl/>
              <w:jc w:val="center"/>
              <w:rPr>
                <w:rFonts w:hint="eastAsia"/>
                <w:kern w:val="0"/>
                <w:szCs w:val="21"/>
                <w:highlight w:val="none"/>
              </w:rPr>
            </w:pPr>
          </w:p>
          <w:p>
            <w:pPr>
              <w:widowControl/>
              <w:jc w:val="center"/>
              <w:rPr>
                <w:rFonts w:eastAsia="宋体"/>
                <w:kern w:val="0"/>
                <w:szCs w:val="21"/>
                <w:highlight w:val="none"/>
              </w:rPr>
            </w:pPr>
            <w:r>
              <w:rPr>
                <w:rFonts w:hint="eastAsia"/>
                <w:kern w:val="0"/>
                <w:szCs w:val="21"/>
                <w:highlight w:val="none"/>
              </w:rPr>
              <w:t>年 月  日</w:t>
            </w:r>
          </w:p>
        </w:tc>
        <w:tc>
          <w:tcPr>
            <w:tcW w:w="1395" w:type="dxa"/>
            <w:vAlign w:val="center"/>
          </w:tcPr>
          <w:p>
            <w:pPr>
              <w:widowControl/>
              <w:rPr>
                <w:rFonts w:eastAsia="宋体"/>
                <w:kern w:val="0"/>
                <w:szCs w:val="21"/>
                <w:highlight w:val="none"/>
              </w:rPr>
            </w:pPr>
            <w:r>
              <w:rPr>
                <w:rFonts w:hint="eastAsia"/>
                <w:kern w:val="0"/>
                <w:szCs w:val="21"/>
                <w:highlight w:val="none"/>
              </w:rPr>
              <w:t>财政部门绩效股（盖章）</w:t>
            </w:r>
          </w:p>
        </w:tc>
        <w:tc>
          <w:tcPr>
            <w:tcW w:w="1886" w:type="dxa"/>
            <w:vAlign w:val="center"/>
          </w:tcPr>
          <w:p>
            <w:pPr>
              <w:widowControl/>
              <w:rPr>
                <w:kern w:val="0"/>
                <w:szCs w:val="21"/>
                <w:highlight w:val="none"/>
              </w:rPr>
            </w:pPr>
            <w:r>
              <w:rPr>
                <w:rFonts w:hint="eastAsia"/>
                <w:kern w:val="0"/>
                <w:szCs w:val="21"/>
                <w:highlight w:val="none"/>
              </w:rPr>
              <w:t xml:space="preserve">  </w:t>
            </w:r>
          </w:p>
          <w:p>
            <w:pPr>
              <w:widowControl/>
              <w:rPr>
                <w:rFonts w:hint="eastAsia"/>
                <w:kern w:val="0"/>
                <w:szCs w:val="21"/>
                <w:highlight w:val="none"/>
              </w:rPr>
            </w:pPr>
            <w:r>
              <w:rPr>
                <w:rFonts w:hint="eastAsia"/>
                <w:kern w:val="0"/>
                <w:szCs w:val="21"/>
                <w:highlight w:val="none"/>
              </w:rPr>
              <w:t xml:space="preserve">   </w:t>
            </w:r>
          </w:p>
          <w:p>
            <w:pPr>
              <w:widowControl/>
              <w:rPr>
                <w:kern w:val="0"/>
                <w:szCs w:val="21"/>
                <w:highlight w:val="none"/>
              </w:rPr>
            </w:pPr>
            <w:r>
              <w:rPr>
                <w:rFonts w:hint="eastAsia"/>
                <w:kern w:val="0"/>
                <w:szCs w:val="21"/>
                <w:highlight w:val="none"/>
              </w:rPr>
              <w:t xml:space="preserve"> 年  月   日</w:t>
            </w:r>
          </w:p>
        </w:tc>
        <w:tc>
          <w:tcPr>
            <w:tcW w:w="1044" w:type="dxa"/>
            <w:gridSpan w:val="2"/>
            <w:vAlign w:val="center"/>
          </w:tcPr>
          <w:p>
            <w:pPr>
              <w:widowControl/>
              <w:rPr>
                <w:rFonts w:eastAsia="宋体"/>
                <w:kern w:val="0"/>
                <w:szCs w:val="21"/>
                <w:highlight w:val="none"/>
              </w:rPr>
            </w:pPr>
            <w:r>
              <w:rPr>
                <w:rFonts w:hint="eastAsia"/>
                <w:kern w:val="0"/>
                <w:szCs w:val="21"/>
                <w:highlight w:val="none"/>
              </w:rPr>
              <w:t>财政局（盖章）</w:t>
            </w:r>
          </w:p>
        </w:tc>
        <w:tc>
          <w:tcPr>
            <w:tcW w:w="2172" w:type="dxa"/>
            <w:vAlign w:val="center"/>
          </w:tcPr>
          <w:p>
            <w:pPr>
              <w:widowControl/>
              <w:rPr>
                <w:kern w:val="0"/>
                <w:szCs w:val="21"/>
                <w:highlight w:val="none"/>
              </w:rPr>
            </w:pPr>
            <w:r>
              <w:rPr>
                <w:rFonts w:hint="eastAsia"/>
                <w:kern w:val="0"/>
                <w:szCs w:val="21"/>
                <w:highlight w:val="none"/>
              </w:rPr>
              <w:t xml:space="preserve">    </w:t>
            </w:r>
          </w:p>
          <w:p>
            <w:pPr>
              <w:widowControl/>
              <w:rPr>
                <w:rFonts w:hint="eastAsia"/>
                <w:kern w:val="0"/>
                <w:szCs w:val="21"/>
                <w:highlight w:val="none"/>
              </w:rPr>
            </w:pPr>
            <w:r>
              <w:rPr>
                <w:rFonts w:hint="eastAsia"/>
                <w:kern w:val="0"/>
                <w:szCs w:val="21"/>
                <w:highlight w:val="none"/>
              </w:rPr>
              <w:t xml:space="preserve">      </w:t>
            </w:r>
          </w:p>
          <w:p>
            <w:pPr>
              <w:widowControl/>
              <w:rPr>
                <w:kern w:val="0"/>
                <w:szCs w:val="21"/>
                <w:highlight w:val="none"/>
              </w:rPr>
            </w:pPr>
            <w:r>
              <w:rPr>
                <w:rFonts w:hint="eastAsia"/>
                <w:kern w:val="0"/>
                <w:szCs w:val="21"/>
                <w:highlight w:val="none"/>
              </w:rPr>
              <w:t>年   月   日</w:t>
            </w:r>
          </w:p>
        </w:tc>
      </w:tr>
    </w:tbl>
    <w:p>
      <w:pPr>
        <w:keepNext w:val="0"/>
        <w:keepLines w:val="0"/>
        <w:pageBreakBefore w:val="0"/>
        <w:widowControl/>
        <w:tabs>
          <w:tab w:val="left" w:pos="1333"/>
          <w:tab w:val="left" w:pos="3793"/>
          <w:tab w:val="left" w:pos="5853"/>
        </w:tabs>
        <w:kinsoku/>
        <w:wordWrap/>
        <w:overflowPunct/>
        <w:topLinePunct w:val="0"/>
        <w:autoSpaceDE/>
        <w:autoSpaceDN/>
        <w:bidi w:val="0"/>
        <w:adjustRightInd/>
        <w:snapToGrid/>
        <w:spacing w:line="560" w:lineRule="exact"/>
        <w:jc w:val="left"/>
        <w:textAlignment w:val="auto"/>
        <w:rPr>
          <w:rFonts w:hint="eastAsia" w:eastAsiaTheme="minorEastAsia"/>
          <w:kern w:val="0"/>
          <w:szCs w:val="21"/>
          <w:lang w:eastAsia="zh-CN"/>
        </w:rPr>
      </w:pPr>
      <w:r>
        <w:rPr>
          <w:rFonts w:hint="eastAsia"/>
          <w:kern w:val="0"/>
          <w:szCs w:val="21"/>
        </w:rPr>
        <w:t>单位负责人：</w:t>
      </w:r>
      <w:r>
        <w:rPr>
          <w:rFonts w:hint="eastAsia"/>
          <w:kern w:val="0"/>
          <w:szCs w:val="21"/>
          <w:lang w:val="en-US" w:eastAsia="zh-CN"/>
        </w:rPr>
        <w:t>喻建军</w:t>
      </w:r>
      <w:r>
        <w:rPr>
          <w:rFonts w:hint="eastAsia"/>
          <w:kern w:val="0"/>
          <w:szCs w:val="21"/>
        </w:rPr>
        <w:t xml:space="preserve"> </w:t>
      </w:r>
      <w:r>
        <w:rPr>
          <w:kern w:val="0"/>
          <w:szCs w:val="21"/>
        </w:rPr>
        <w:t>填报人：</w:t>
      </w:r>
      <w:r>
        <w:rPr>
          <w:rFonts w:hint="eastAsia"/>
          <w:kern w:val="0"/>
          <w:szCs w:val="21"/>
          <w:lang w:eastAsia="zh-CN"/>
        </w:rPr>
        <w:t>戴维佳</w:t>
      </w:r>
      <w:r>
        <w:rPr>
          <w:kern w:val="0"/>
          <w:szCs w:val="21"/>
        </w:rPr>
        <w:t xml:space="preserve">  联系电话</w:t>
      </w:r>
      <w:r>
        <w:rPr>
          <w:rFonts w:hint="eastAsia"/>
          <w:kern w:val="0"/>
          <w:szCs w:val="21"/>
        </w:rPr>
        <w:t>：</w:t>
      </w:r>
      <w:r>
        <w:rPr>
          <w:rFonts w:hint="eastAsia"/>
          <w:kern w:val="0"/>
          <w:szCs w:val="21"/>
          <w:lang w:val="en-US" w:eastAsia="zh-CN"/>
        </w:rPr>
        <w:t>17873935145</w:t>
      </w:r>
      <w:r>
        <w:rPr>
          <w:rFonts w:hint="eastAsia"/>
          <w:kern w:val="0"/>
          <w:szCs w:val="21"/>
        </w:rPr>
        <w:t xml:space="preserve"> </w:t>
      </w:r>
      <w:r>
        <w:rPr>
          <w:kern w:val="0"/>
          <w:szCs w:val="21"/>
        </w:rPr>
        <w:t>填报日期：</w:t>
      </w:r>
      <w:r>
        <w:rPr>
          <w:rFonts w:hint="eastAsia"/>
          <w:kern w:val="0"/>
          <w:szCs w:val="21"/>
          <w:lang w:val="en-US" w:eastAsia="zh-CN"/>
        </w:rPr>
        <w:t>2020</w:t>
      </w:r>
      <w:r>
        <w:rPr>
          <w:rFonts w:hint="eastAsia"/>
          <w:kern w:val="0"/>
          <w:szCs w:val="21"/>
        </w:rPr>
        <w:t>年0</w:t>
      </w:r>
      <w:r>
        <w:rPr>
          <w:rFonts w:hint="eastAsia"/>
          <w:kern w:val="0"/>
          <w:szCs w:val="21"/>
          <w:lang w:val="en-US" w:eastAsia="zh-CN"/>
        </w:rPr>
        <w:t>2</w:t>
      </w:r>
      <w:r>
        <w:rPr>
          <w:rFonts w:hint="eastAsia"/>
          <w:kern w:val="0"/>
          <w:szCs w:val="21"/>
        </w:rPr>
        <w:t>月2</w:t>
      </w:r>
      <w:r>
        <w:rPr>
          <w:rFonts w:hint="eastAsia"/>
          <w:kern w:val="0"/>
          <w:szCs w:val="21"/>
          <w:lang w:val="en-US" w:eastAsia="zh-CN"/>
        </w:rPr>
        <w:t>4</w:t>
      </w:r>
      <w:r>
        <w:rPr>
          <w:rFonts w:hint="eastAsia"/>
          <w:kern w:val="0"/>
          <w:szCs w:val="21"/>
        </w:rPr>
        <w:t>日</w:t>
      </w:r>
    </w:p>
    <w:sectPr>
      <w:footerReference r:id="rId3" w:type="default"/>
      <w:footerReference r:id="rId4" w:type="even"/>
      <w:pgSz w:w="11905" w:h="16837"/>
      <w:pgMar w:top="1418" w:right="1588" w:bottom="1418" w:left="1588" w:header="720" w:footer="1701" w:gutter="0"/>
      <w:pgNumType w:start="1"/>
      <w:cols w:space="720" w:num="1"/>
      <w:docGrid w:type="lines"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_GB2312">
    <w:altName w:val="Segoe Print"/>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altName w:val="宋体"/>
    <w:panose1 w:val="00000000000000000000"/>
    <w:charset w:val="86"/>
    <w:family w:val="roma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fldChar w:fldCharType="begin"/>
    </w:r>
    <w:r>
      <w:rPr>
        <w:rStyle w:val="10"/>
      </w:rPr>
      <w:instrText xml:space="preserve">PAGE  </w:instrText>
    </w:r>
    <w:r>
      <w:fldChar w:fldCharType="separate"/>
    </w:r>
    <w:r>
      <w:rPr>
        <w:rStyle w:val="10"/>
      </w:rPr>
      <w:t>2</w:t>
    </w:r>
    <w: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2EE86F"/>
    <w:multiLevelType w:val="singleLevel"/>
    <w:tmpl w:val="CC2EE86F"/>
    <w:lvl w:ilvl="0" w:tentative="0">
      <w:start w:val="1"/>
      <w:numFmt w:val="decimal"/>
      <w:suff w:val="nothing"/>
      <w:lvlText w:val="%1、"/>
      <w:lvlJc w:val="left"/>
    </w:lvl>
  </w:abstractNum>
  <w:abstractNum w:abstractNumId="1">
    <w:nsid w:val="5785FFAE"/>
    <w:multiLevelType w:val="singleLevel"/>
    <w:tmpl w:val="5785FFAE"/>
    <w:lvl w:ilvl="0" w:tentative="0">
      <w:start w:val="1"/>
      <w:numFmt w:val="decimal"/>
      <w:suff w:val="nothing"/>
      <w:lvlText w:val="%1、"/>
      <w:lvlJc w:val="left"/>
    </w:lvl>
  </w:abstractNum>
  <w:abstractNum w:abstractNumId="2">
    <w:nsid w:val="5786004F"/>
    <w:multiLevelType w:val="singleLevel"/>
    <w:tmpl w:val="5786004F"/>
    <w:lvl w:ilvl="0" w:tentative="0">
      <w:start w:val="2"/>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58"/>
    <w:rsid w:val="000E3DC0"/>
    <w:rsid w:val="0014112A"/>
    <w:rsid w:val="00227F9B"/>
    <w:rsid w:val="00236B55"/>
    <w:rsid w:val="00261574"/>
    <w:rsid w:val="0034192E"/>
    <w:rsid w:val="00362B0F"/>
    <w:rsid w:val="00375806"/>
    <w:rsid w:val="0043383F"/>
    <w:rsid w:val="004918A5"/>
    <w:rsid w:val="00542B05"/>
    <w:rsid w:val="005D70A9"/>
    <w:rsid w:val="00672384"/>
    <w:rsid w:val="006742ED"/>
    <w:rsid w:val="0074129B"/>
    <w:rsid w:val="00742B2A"/>
    <w:rsid w:val="0081532F"/>
    <w:rsid w:val="00831C7F"/>
    <w:rsid w:val="008C58ED"/>
    <w:rsid w:val="008D75D3"/>
    <w:rsid w:val="00BF7934"/>
    <w:rsid w:val="00C02BBC"/>
    <w:rsid w:val="00C641EB"/>
    <w:rsid w:val="00C86758"/>
    <w:rsid w:val="00C9289C"/>
    <w:rsid w:val="00C97793"/>
    <w:rsid w:val="00D72AC8"/>
    <w:rsid w:val="00DC7F05"/>
    <w:rsid w:val="00E03658"/>
    <w:rsid w:val="00E753F4"/>
    <w:rsid w:val="00E9776E"/>
    <w:rsid w:val="00F07C44"/>
    <w:rsid w:val="00FA5A4C"/>
    <w:rsid w:val="00FE0C40"/>
    <w:rsid w:val="0118148E"/>
    <w:rsid w:val="080D7436"/>
    <w:rsid w:val="0D3A3D99"/>
    <w:rsid w:val="1A437165"/>
    <w:rsid w:val="1B032847"/>
    <w:rsid w:val="27FA5734"/>
    <w:rsid w:val="2FA419F0"/>
    <w:rsid w:val="35B90005"/>
    <w:rsid w:val="3C1C6D6D"/>
    <w:rsid w:val="40655825"/>
    <w:rsid w:val="423753A7"/>
    <w:rsid w:val="430C3574"/>
    <w:rsid w:val="4858478B"/>
    <w:rsid w:val="4DA37826"/>
    <w:rsid w:val="5D3B1B94"/>
    <w:rsid w:val="5F6205A4"/>
    <w:rsid w:val="6C35771E"/>
    <w:rsid w:val="6CC9268D"/>
    <w:rsid w:val="6D0167E6"/>
    <w:rsid w:val="72403114"/>
    <w:rsid w:val="7ED1449D"/>
    <w:rsid w:val="7FE52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ind w:left="106"/>
    </w:pPr>
    <w:rPr>
      <w:rFonts w:ascii="仿宋" w:hAnsi="仿宋" w:eastAsia="仿宋" w:cs="仿宋"/>
      <w:sz w:val="32"/>
      <w:szCs w:val="32"/>
      <w:lang w:val="zh-CN"/>
    </w:rPr>
  </w:style>
  <w:style w:type="paragraph" w:styleId="3">
    <w:name w:val="Body Text Indent"/>
    <w:basedOn w:val="1"/>
    <w:qFormat/>
    <w:uiPriority w:val="0"/>
    <w:pPr>
      <w:adjustRightInd w:val="0"/>
      <w:snapToGrid w:val="0"/>
      <w:spacing w:line="660" w:lineRule="exact"/>
      <w:ind w:firstLine="645"/>
    </w:pPr>
    <w:rPr>
      <w:rFonts w:ascii="??_GB2312" w:eastAsia="Times New Roman"/>
      <w:kern w:val="0"/>
      <w:sz w:val="32"/>
    </w:rPr>
  </w:style>
  <w:style w:type="paragraph" w:styleId="4">
    <w:name w:val="footer"/>
    <w:basedOn w:val="1"/>
    <w:link w:val="13"/>
    <w:unhideWhenUsed/>
    <w:qFormat/>
    <w:uiPriority w:val="0"/>
    <w:pPr>
      <w:tabs>
        <w:tab w:val="center" w:pos="4153"/>
        <w:tab w:val="right" w:pos="8306"/>
      </w:tabs>
      <w:snapToGrid w:val="0"/>
      <w:jc w:val="left"/>
    </w:pPr>
    <w:rPr>
      <w:sz w:val="18"/>
    </w:rPr>
  </w:style>
  <w:style w:type="paragraph" w:styleId="5">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7">
    <w:name w:val="Body Text First Indent 2"/>
    <w:basedOn w:val="3"/>
    <w:qFormat/>
    <w:uiPriority w:val="0"/>
    <w:pPr>
      <w:ind w:firstLine="420" w:firstLineChars="200"/>
    </w:pPr>
  </w:style>
  <w:style w:type="character" w:styleId="10">
    <w:name w:val="page number"/>
    <w:basedOn w:val="9"/>
    <w:unhideWhenUsed/>
    <w:qFormat/>
    <w:uiPriority w:val="99"/>
  </w:style>
  <w:style w:type="character" w:styleId="11">
    <w:name w:val="FollowedHyperlink"/>
    <w:basedOn w:val="9"/>
    <w:semiHidden/>
    <w:unhideWhenUsed/>
    <w:qFormat/>
    <w:uiPriority w:val="99"/>
    <w:rPr>
      <w:color w:val="800080" w:themeColor="followedHyperlink"/>
      <w:u w:val="single"/>
      <w14:textFill>
        <w14:solidFill>
          <w14:schemeClr w14:val="folHlink"/>
        </w14:solidFill>
      </w14:textFill>
    </w:rPr>
  </w:style>
  <w:style w:type="character" w:styleId="12">
    <w:name w:val="Hyperlink"/>
    <w:basedOn w:val="9"/>
    <w:unhideWhenUsed/>
    <w:qFormat/>
    <w:uiPriority w:val="99"/>
    <w:rPr>
      <w:color w:val="0000FF"/>
      <w:u w:val="single"/>
    </w:rPr>
  </w:style>
  <w:style w:type="character" w:customStyle="1" w:styleId="13">
    <w:name w:val="页脚 Char"/>
    <w:basedOn w:val="9"/>
    <w:link w:val="4"/>
    <w:qFormat/>
    <w:uiPriority w:val="0"/>
    <w:rPr>
      <w:rFonts w:ascii="Times New Roman" w:hAnsi="Times New Roman" w:eastAsia="宋体" w:cs="Times New Roman"/>
      <w:sz w:val="18"/>
      <w:szCs w:val="24"/>
    </w:rPr>
  </w:style>
  <w:style w:type="character" w:customStyle="1" w:styleId="14">
    <w:name w:val="页眉 Char"/>
    <w:basedOn w:val="9"/>
    <w:link w:val="5"/>
    <w:semiHidden/>
    <w:qFormat/>
    <w:uiPriority w:val="99"/>
    <w:rPr>
      <w:sz w:val="18"/>
      <w:szCs w:val="18"/>
    </w:rPr>
  </w:style>
  <w:style w:type="paragraph" w:styleId="15">
    <w:name w:val="List Paragraph"/>
    <w:basedOn w:val="1"/>
    <w:unhideWhenUsed/>
    <w:qFormat/>
    <w:uiPriority w:val="99"/>
    <w:pPr>
      <w:ind w:firstLine="420" w:firstLineChars="200"/>
    </w:pPr>
  </w:style>
  <w:style w:type="paragraph" w:styleId="16">
    <w:name w:val="No Spacing"/>
    <w:qFormat/>
    <w:uiPriority w:val="1"/>
    <w:pPr>
      <w:adjustRightInd w:val="0"/>
      <w:snapToGrid w:val="0"/>
    </w:pPr>
    <w:rPr>
      <w:rFonts w:ascii="Tahoma" w:hAnsi="Tahoma" w:eastAsia="微软雅黑" w:cstheme="minorBidi"/>
      <w:sz w:val="2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1296</Words>
  <Characters>7388</Characters>
  <Lines>61</Lines>
  <Paragraphs>17</Paragraphs>
  <TotalTime>27</TotalTime>
  <ScaleCrop>false</ScaleCrop>
  <LinksUpToDate>false</LinksUpToDate>
  <CharactersWithSpaces>8667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2018-01-02T02:37:00Z</dcterms:created>
  <dc:creator>Administrator</dc:creator>
  <cp:lastModifiedBy>Administrator</cp:lastModifiedBy>
  <cp:lastPrinted>2021-01-19T09:13:08Z</cp:lastPrinted>
  <dcterms:modified xsi:type="dcterms:W3CDTF">2021-01-19T09:20:42Z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