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74" w:rsidRDefault="00F05774" w:rsidP="00F05774">
      <w:pPr>
        <w:autoSpaceDN w:val="0"/>
        <w:rPr>
          <w:rFonts w:ascii="仿宋" w:eastAsia="仿宋" w:hAnsi="仿宋" w:cs="仿宋"/>
          <w:kern w:val="0"/>
          <w:sz w:val="32"/>
          <w:szCs w:val="32"/>
        </w:rPr>
      </w:pPr>
      <w:r>
        <w:rPr>
          <w:rFonts w:ascii="仿宋" w:eastAsia="仿宋" w:hAnsi="仿宋" w:cs="仿宋" w:hint="eastAsia"/>
          <w:kern w:val="0"/>
          <w:sz w:val="32"/>
          <w:szCs w:val="32"/>
        </w:rPr>
        <w:t>附件2</w:t>
      </w:r>
    </w:p>
    <w:p w:rsidR="00F05774" w:rsidRDefault="00F05774" w:rsidP="00F05774">
      <w:pPr>
        <w:spacing w:afterLines="50" w:line="560" w:lineRule="exact"/>
        <w:jc w:val="center"/>
        <w:rPr>
          <w:rFonts w:ascii="仿宋" w:eastAsia="仿宋" w:hAnsi="仿宋" w:cs="仿宋"/>
          <w:kern w:val="0"/>
          <w:sz w:val="32"/>
          <w:szCs w:val="32"/>
        </w:rPr>
      </w:pPr>
      <w:r>
        <w:rPr>
          <w:rFonts w:ascii="仿宋" w:eastAsia="仿宋" w:hAnsi="仿宋" w:cs="仿宋" w:hint="eastAsia"/>
          <w:kern w:val="0"/>
          <w:sz w:val="32"/>
          <w:szCs w:val="32"/>
        </w:rPr>
        <w:t>部门整体支出绩效评价指标表</w:t>
      </w:r>
    </w:p>
    <w:tbl>
      <w:tblPr>
        <w:tblW w:w="10598" w:type="dxa"/>
        <w:jc w:val="center"/>
        <w:tblLayout w:type="fixed"/>
        <w:tblLook w:val="04A0"/>
      </w:tblPr>
      <w:tblGrid>
        <w:gridCol w:w="679"/>
        <w:gridCol w:w="645"/>
        <w:gridCol w:w="720"/>
        <w:gridCol w:w="585"/>
        <w:gridCol w:w="855"/>
        <w:gridCol w:w="496"/>
        <w:gridCol w:w="3259"/>
        <w:gridCol w:w="2722"/>
        <w:gridCol w:w="637"/>
      </w:tblGrid>
      <w:tr w:rsidR="00F05774" w:rsidTr="003B32A2">
        <w:trPr>
          <w:tblHeader/>
          <w:jc w:val="center"/>
        </w:trPr>
        <w:tc>
          <w:tcPr>
            <w:tcW w:w="679" w:type="dxa"/>
            <w:tcBorders>
              <w:top w:val="single" w:sz="4" w:space="0" w:color="auto"/>
              <w:left w:val="single" w:sz="4" w:space="0" w:color="auto"/>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一级指标</w:t>
            </w:r>
          </w:p>
        </w:tc>
        <w:tc>
          <w:tcPr>
            <w:tcW w:w="645"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分值</w:t>
            </w:r>
          </w:p>
        </w:tc>
        <w:tc>
          <w:tcPr>
            <w:tcW w:w="720"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二级指标</w:t>
            </w:r>
          </w:p>
        </w:tc>
        <w:tc>
          <w:tcPr>
            <w:tcW w:w="585"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分值</w:t>
            </w:r>
          </w:p>
        </w:tc>
        <w:tc>
          <w:tcPr>
            <w:tcW w:w="855"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三级</w:t>
            </w:r>
          </w:p>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指标</w:t>
            </w:r>
          </w:p>
        </w:tc>
        <w:tc>
          <w:tcPr>
            <w:tcW w:w="496"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分值</w:t>
            </w:r>
          </w:p>
        </w:tc>
        <w:tc>
          <w:tcPr>
            <w:tcW w:w="3259"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评价标准</w:t>
            </w:r>
          </w:p>
        </w:tc>
        <w:tc>
          <w:tcPr>
            <w:tcW w:w="2722"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指标说明</w:t>
            </w:r>
          </w:p>
        </w:tc>
        <w:tc>
          <w:tcPr>
            <w:tcW w:w="637"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得分</w:t>
            </w:r>
          </w:p>
        </w:tc>
      </w:tr>
      <w:tr w:rsidR="00F05774" w:rsidTr="003B32A2">
        <w:trPr>
          <w:trHeight w:val="1814"/>
          <w:jc w:val="center"/>
        </w:trPr>
        <w:tc>
          <w:tcPr>
            <w:tcW w:w="679" w:type="dxa"/>
            <w:vMerge w:val="restart"/>
            <w:tcBorders>
              <w:top w:val="nil"/>
              <w:left w:val="single" w:sz="4" w:space="0" w:color="auto"/>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投入</w:t>
            </w:r>
          </w:p>
        </w:tc>
        <w:tc>
          <w:tcPr>
            <w:tcW w:w="645"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10</w:t>
            </w:r>
          </w:p>
        </w:tc>
        <w:tc>
          <w:tcPr>
            <w:tcW w:w="720" w:type="dxa"/>
            <w:vMerge w:val="restart"/>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预算配置</w:t>
            </w:r>
          </w:p>
        </w:tc>
        <w:tc>
          <w:tcPr>
            <w:tcW w:w="585"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10</w:t>
            </w: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在职人员控制率</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5</w:t>
            </w:r>
          </w:p>
        </w:tc>
        <w:tc>
          <w:tcPr>
            <w:tcW w:w="3259" w:type="dxa"/>
            <w:tcBorders>
              <w:top w:val="nil"/>
              <w:left w:val="nil"/>
              <w:bottom w:val="nil"/>
              <w:right w:val="nil"/>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以100%为标准。在职人员控制率≦100%，计5分；每超过一个百分点扣0.5分，扣完为止。</w:t>
            </w:r>
          </w:p>
        </w:tc>
        <w:tc>
          <w:tcPr>
            <w:tcW w:w="2722" w:type="dxa"/>
            <w:tcBorders>
              <w:top w:val="nil"/>
              <w:left w:val="single" w:sz="4" w:space="0" w:color="auto"/>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在职人员控制率=（在职人员数/编制数）×100%，在职人员数：部门（单位）实际在职人数，以财政厅确定的部门决算编制口径为准。</w:t>
            </w:r>
            <w:r>
              <w:rPr>
                <w:rFonts w:ascii="仿宋" w:eastAsia="仿宋" w:hAnsi="仿宋" w:cs="仿宋" w:hint="eastAsia"/>
                <w:kern w:val="0"/>
                <w:szCs w:val="21"/>
              </w:rPr>
              <w:b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5</w:t>
            </w:r>
          </w:p>
        </w:tc>
      </w:tr>
      <w:tr w:rsidR="00F05774" w:rsidTr="003B32A2">
        <w:trPr>
          <w:jc w:val="center"/>
        </w:trPr>
        <w:tc>
          <w:tcPr>
            <w:tcW w:w="679" w:type="dxa"/>
            <w:vMerge/>
            <w:tcBorders>
              <w:top w:val="nil"/>
              <w:left w:val="single" w:sz="4" w:space="0" w:color="auto"/>
              <w:bottom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64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nil"/>
              <w:bottom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“三公经费”变动率</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5</w:t>
            </w:r>
          </w:p>
        </w:tc>
        <w:tc>
          <w:tcPr>
            <w:tcW w:w="3259"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“三公经费”变动率≦0,计8分；“三公经费”＞0，每超过一个百分点扣0.8分，扣完为止。</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“三公经费”变动率=[（本年度“三公经费”预算数-上年度“三公经费”预算数）/上年度“三公经费”预算数]×100%</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5</w:t>
            </w:r>
          </w:p>
        </w:tc>
      </w:tr>
      <w:tr w:rsidR="00F05774" w:rsidTr="003B32A2">
        <w:trPr>
          <w:jc w:val="center"/>
        </w:trPr>
        <w:tc>
          <w:tcPr>
            <w:tcW w:w="679" w:type="dxa"/>
            <w:vMerge w:val="restart"/>
            <w:tcBorders>
              <w:top w:val="nil"/>
              <w:left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过</w:t>
            </w:r>
          </w:p>
          <w:p w:rsidR="00F05774" w:rsidRDefault="00F05774" w:rsidP="003B32A2">
            <w:pPr>
              <w:widowControl/>
              <w:spacing w:line="300" w:lineRule="exact"/>
              <w:jc w:val="center"/>
              <w:rPr>
                <w:rFonts w:ascii="仿宋" w:eastAsia="仿宋" w:hAnsi="仿宋" w:cs="仿宋"/>
                <w:kern w:val="0"/>
                <w:szCs w:val="21"/>
              </w:rPr>
            </w:pPr>
          </w:p>
          <w:p w:rsidR="00F05774" w:rsidRDefault="00F05774" w:rsidP="003B32A2">
            <w:pPr>
              <w:widowControl/>
              <w:spacing w:line="300" w:lineRule="exact"/>
              <w:jc w:val="center"/>
              <w:rPr>
                <w:rFonts w:ascii="仿宋" w:eastAsia="仿宋" w:hAnsi="仿宋" w:cs="仿宋"/>
                <w:kern w:val="0"/>
                <w:szCs w:val="21"/>
              </w:rPr>
            </w:pPr>
          </w:p>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程</w:t>
            </w:r>
          </w:p>
        </w:tc>
        <w:tc>
          <w:tcPr>
            <w:tcW w:w="645" w:type="dxa"/>
            <w:vMerge w:val="restart"/>
            <w:tcBorders>
              <w:top w:val="nil"/>
              <w:left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60</w:t>
            </w:r>
          </w:p>
        </w:tc>
        <w:tc>
          <w:tcPr>
            <w:tcW w:w="720"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预算执行</w:t>
            </w:r>
          </w:p>
        </w:tc>
        <w:tc>
          <w:tcPr>
            <w:tcW w:w="585"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10</w:t>
            </w: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预算完成率</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5</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100%计满分，每低于5%扣2分，扣完为止。</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预算完成率=（上年结转+年初预算+本年追加预算-年末结余）/（上年结转+年初预算+本年追加预算）×100%。</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5</w:t>
            </w:r>
          </w:p>
        </w:tc>
      </w:tr>
      <w:tr w:rsidR="00F05774" w:rsidTr="003B32A2">
        <w:trPr>
          <w:trHeight w:val="1273"/>
          <w:jc w:val="center"/>
        </w:trPr>
        <w:tc>
          <w:tcPr>
            <w:tcW w:w="679" w:type="dxa"/>
            <w:vMerge/>
            <w:tcBorders>
              <w:left w:val="single" w:sz="4" w:space="0" w:color="auto"/>
              <w:right w:val="single" w:sz="4" w:space="0" w:color="auto"/>
            </w:tcBorders>
            <w:vAlign w:val="center"/>
          </w:tcPr>
          <w:p w:rsidR="00F05774" w:rsidRDefault="00F05774" w:rsidP="003B32A2">
            <w:pPr>
              <w:spacing w:line="300" w:lineRule="exact"/>
              <w:jc w:val="left"/>
              <w:rPr>
                <w:rFonts w:ascii="仿宋" w:eastAsia="仿宋" w:hAnsi="仿宋" w:cs="仿宋"/>
                <w:szCs w:val="21"/>
              </w:rPr>
            </w:pPr>
          </w:p>
        </w:tc>
        <w:tc>
          <w:tcPr>
            <w:tcW w:w="645" w:type="dxa"/>
            <w:vMerge/>
            <w:tcBorders>
              <w:left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预算控制率</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5</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预算控制率=0，计5分；0-10%（含），计4分；10-20%（含），计3分；20-30%（含），计2分；大于30%不得分。</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预算控制率=（本年追加预算/年初预算）×100%。</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4</w:t>
            </w:r>
          </w:p>
        </w:tc>
      </w:tr>
      <w:tr w:rsidR="00F05774" w:rsidTr="003B32A2">
        <w:trPr>
          <w:trHeight w:val="1562"/>
          <w:jc w:val="center"/>
        </w:trPr>
        <w:tc>
          <w:tcPr>
            <w:tcW w:w="679" w:type="dxa"/>
            <w:vMerge/>
            <w:tcBorders>
              <w:left w:val="single" w:sz="4" w:space="0" w:color="auto"/>
              <w:right w:val="single" w:sz="4" w:space="0" w:color="auto"/>
            </w:tcBorders>
            <w:vAlign w:val="center"/>
          </w:tcPr>
          <w:p w:rsidR="00F05774" w:rsidRDefault="00F05774" w:rsidP="003B32A2">
            <w:pPr>
              <w:spacing w:line="300" w:lineRule="exact"/>
              <w:jc w:val="left"/>
              <w:rPr>
                <w:rFonts w:ascii="仿宋" w:eastAsia="仿宋" w:hAnsi="仿宋" w:cs="仿宋"/>
                <w:szCs w:val="21"/>
              </w:rPr>
            </w:pPr>
          </w:p>
        </w:tc>
        <w:tc>
          <w:tcPr>
            <w:tcW w:w="645" w:type="dxa"/>
            <w:vMerge/>
            <w:tcBorders>
              <w:left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预算管理</w:t>
            </w:r>
          </w:p>
        </w:tc>
        <w:tc>
          <w:tcPr>
            <w:tcW w:w="585"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50</w:t>
            </w: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公用经费控制率</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8</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100%以下（含）计满分，每超出1%扣1分，扣完为止。</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公用经费控制率=（实际支出公用经费总额/预算安排公用经费总额）×100%。</w:t>
            </w:r>
            <w:r>
              <w:rPr>
                <w:rFonts w:ascii="仿宋" w:eastAsia="仿宋" w:hAnsi="仿宋" w:cs="仿宋" w:hint="eastAsia"/>
                <w:kern w:val="0"/>
                <w:szCs w:val="21"/>
              </w:rPr>
              <w:b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5</w:t>
            </w:r>
          </w:p>
        </w:tc>
      </w:tr>
      <w:tr w:rsidR="00F05774" w:rsidTr="003B32A2">
        <w:trPr>
          <w:trHeight w:val="1073"/>
          <w:jc w:val="center"/>
        </w:trPr>
        <w:tc>
          <w:tcPr>
            <w:tcW w:w="679" w:type="dxa"/>
            <w:vMerge/>
            <w:tcBorders>
              <w:left w:val="single" w:sz="4" w:space="0" w:color="auto"/>
              <w:right w:val="single" w:sz="4" w:space="0" w:color="auto"/>
            </w:tcBorders>
            <w:vAlign w:val="center"/>
          </w:tcPr>
          <w:p w:rsidR="00F05774" w:rsidRDefault="00F05774" w:rsidP="003B32A2">
            <w:pPr>
              <w:spacing w:line="300" w:lineRule="exact"/>
              <w:jc w:val="left"/>
              <w:rPr>
                <w:rFonts w:ascii="仿宋" w:eastAsia="仿宋" w:hAnsi="仿宋" w:cs="仿宋"/>
                <w:szCs w:val="21"/>
              </w:rPr>
            </w:pPr>
          </w:p>
        </w:tc>
        <w:tc>
          <w:tcPr>
            <w:tcW w:w="645" w:type="dxa"/>
            <w:vMerge/>
            <w:tcBorders>
              <w:left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“三公经费”控制率</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7</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100%以下（含）计满分，每超出1%扣1分，扣完为止。</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“三公经费”控制率-（“三公经费”实际支出数/“三公经费”预算安排数）×100%。</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7</w:t>
            </w:r>
          </w:p>
        </w:tc>
      </w:tr>
      <w:tr w:rsidR="00F05774" w:rsidTr="003B32A2">
        <w:trPr>
          <w:trHeight w:val="918"/>
          <w:jc w:val="center"/>
        </w:trPr>
        <w:tc>
          <w:tcPr>
            <w:tcW w:w="679" w:type="dxa"/>
            <w:vMerge/>
            <w:tcBorders>
              <w:left w:val="single" w:sz="4" w:space="0" w:color="auto"/>
              <w:right w:val="single" w:sz="4" w:space="0" w:color="auto"/>
            </w:tcBorders>
            <w:vAlign w:val="center"/>
          </w:tcPr>
          <w:p w:rsidR="00F05774" w:rsidRDefault="00F05774" w:rsidP="003B32A2">
            <w:pPr>
              <w:spacing w:line="300" w:lineRule="exact"/>
              <w:jc w:val="left"/>
              <w:rPr>
                <w:rFonts w:ascii="仿宋" w:eastAsia="仿宋" w:hAnsi="仿宋" w:cs="仿宋"/>
                <w:szCs w:val="21"/>
              </w:rPr>
            </w:pPr>
          </w:p>
        </w:tc>
        <w:tc>
          <w:tcPr>
            <w:tcW w:w="645" w:type="dxa"/>
            <w:vMerge/>
            <w:tcBorders>
              <w:left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政府采购执行率</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6</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100%计满分，每超过（降低）5%扣2分。扣完为止。</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政府采购执行率=（实际政府采购金额/政府采购预算数）×100%</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6</w:t>
            </w:r>
          </w:p>
        </w:tc>
      </w:tr>
      <w:tr w:rsidR="00F05774" w:rsidTr="003B32A2">
        <w:trPr>
          <w:jc w:val="center"/>
        </w:trPr>
        <w:tc>
          <w:tcPr>
            <w:tcW w:w="679" w:type="dxa"/>
            <w:vMerge/>
            <w:tcBorders>
              <w:left w:val="single" w:sz="4" w:space="0" w:color="auto"/>
              <w:right w:val="single" w:sz="4" w:space="0" w:color="auto"/>
            </w:tcBorders>
            <w:vAlign w:val="center"/>
          </w:tcPr>
          <w:p w:rsidR="00F05774" w:rsidRDefault="00F05774" w:rsidP="003B32A2">
            <w:pPr>
              <w:spacing w:line="300" w:lineRule="exact"/>
              <w:jc w:val="left"/>
              <w:rPr>
                <w:rFonts w:ascii="仿宋" w:eastAsia="仿宋" w:hAnsi="仿宋" w:cs="仿宋"/>
                <w:kern w:val="0"/>
                <w:szCs w:val="21"/>
              </w:rPr>
            </w:pPr>
          </w:p>
        </w:tc>
        <w:tc>
          <w:tcPr>
            <w:tcW w:w="645" w:type="dxa"/>
            <w:vMerge/>
            <w:tcBorders>
              <w:left w:val="single" w:sz="4" w:space="0" w:color="auto"/>
              <w:right w:val="single" w:sz="4" w:space="0" w:color="auto"/>
            </w:tcBorders>
            <w:vAlign w:val="center"/>
          </w:tcPr>
          <w:p w:rsidR="00F05774" w:rsidRDefault="00F05774" w:rsidP="003B32A2">
            <w:pPr>
              <w:spacing w:line="300" w:lineRule="exact"/>
              <w:jc w:val="left"/>
              <w:rPr>
                <w:rFonts w:ascii="仿宋" w:eastAsia="仿宋" w:hAnsi="仿宋" w:cs="仿宋"/>
                <w:kern w:val="0"/>
                <w:szCs w:val="21"/>
              </w:rPr>
            </w:pPr>
          </w:p>
        </w:tc>
        <w:tc>
          <w:tcPr>
            <w:tcW w:w="720" w:type="dxa"/>
            <w:vMerge w:val="restart"/>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预算管理</w:t>
            </w: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管理制度健全性</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8</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①有内部财务管理制度、会计核算制度等管理制度，2分；</w:t>
            </w:r>
            <w:r>
              <w:rPr>
                <w:rFonts w:ascii="仿宋" w:eastAsia="仿宋" w:hAnsi="仿宋" w:cs="仿宋" w:hint="eastAsia"/>
                <w:kern w:val="0"/>
                <w:szCs w:val="21"/>
              </w:rPr>
              <w:br/>
              <w:t>②有本部门厉行节约制度，2分；</w:t>
            </w:r>
            <w:r>
              <w:rPr>
                <w:rFonts w:ascii="仿宋" w:eastAsia="仿宋" w:hAnsi="仿宋" w:cs="仿宋" w:hint="eastAsia"/>
                <w:kern w:val="0"/>
                <w:szCs w:val="21"/>
              </w:rPr>
              <w:br/>
              <w:t>③相关管理制度合法、合规、完</w:t>
            </w:r>
            <w:r>
              <w:rPr>
                <w:rFonts w:ascii="仿宋" w:eastAsia="仿宋" w:hAnsi="仿宋" w:cs="仿宋" w:hint="eastAsia"/>
                <w:kern w:val="0"/>
                <w:szCs w:val="21"/>
              </w:rPr>
              <w:lastRenderedPageBreak/>
              <w:t>整，2分；④相关管理制度得到有效执行，2分。</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lastRenderedPageBreak/>
              <w:t xml:space="preserve">　</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8</w:t>
            </w:r>
          </w:p>
        </w:tc>
      </w:tr>
      <w:tr w:rsidR="00F05774" w:rsidTr="003B32A2">
        <w:trPr>
          <w:jc w:val="center"/>
        </w:trPr>
        <w:tc>
          <w:tcPr>
            <w:tcW w:w="679" w:type="dxa"/>
            <w:vMerge/>
            <w:tcBorders>
              <w:left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645" w:type="dxa"/>
            <w:vMerge/>
            <w:tcBorders>
              <w:left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nil"/>
              <w:bottom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资金使用合规性</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16</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 w:eastAsia="仿宋" w:hAnsi="仿宋" w:cs="仿宋" w:hint="eastAsia"/>
                <w:kern w:val="0"/>
                <w:szCs w:val="21"/>
              </w:rPr>
              <w:br/>
              <w:t>以上情况每出现一例不符合要求的扣1分，扣完为止。</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15</w:t>
            </w:r>
          </w:p>
        </w:tc>
      </w:tr>
      <w:tr w:rsidR="00F05774" w:rsidTr="003B32A2">
        <w:trPr>
          <w:jc w:val="center"/>
        </w:trPr>
        <w:tc>
          <w:tcPr>
            <w:tcW w:w="679" w:type="dxa"/>
            <w:vMerge/>
            <w:tcBorders>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645" w:type="dxa"/>
            <w:vMerge/>
            <w:tcBorders>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nil"/>
              <w:bottom w:val="single" w:sz="4" w:space="0" w:color="auto"/>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预决算信息公开性</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5</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①按规定内容公开预决算信息，1分；②按规定时限公开预决算信息，1分；③基础数据信息和会计信息资料真实，1分；④基础数据信息和会计信息资料完整，1分；⑤基础数据信息和汇集信息资料准确，1分。</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5</w:t>
            </w:r>
          </w:p>
        </w:tc>
      </w:tr>
      <w:tr w:rsidR="00F05774" w:rsidTr="003B32A2">
        <w:trPr>
          <w:jc w:val="center"/>
        </w:trPr>
        <w:tc>
          <w:tcPr>
            <w:tcW w:w="679"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产出及效率</w:t>
            </w:r>
          </w:p>
        </w:tc>
        <w:tc>
          <w:tcPr>
            <w:tcW w:w="645"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30</w:t>
            </w:r>
          </w:p>
        </w:tc>
        <w:tc>
          <w:tcPr>
            <w:tcW w:w="720"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职责履行</w:t>
            </w:r>
          </w:p>
        </w:tc>
        <w:tc>
          <w:tcPr>
            <w:tcW w:w="58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8</w:t>
            </w:r>
          </w:p>
        </w:tc>
        <w:tc>
          <w:tcPr>
            <w:tcW w:w="855" w:type="dxa"/>
            <w:tcBorders>
              <w:top w:val="nil"/>
              <w:left w:val="nil"/>
              <w:bottom w:val="nil"/>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重点工作实际完成率</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8</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根据绩效办2021年对各部门为民办实事和部门重点工程与重点工作考核分数折算。</w:t>
            </w:r>
            <w:r>
              <w:rPr>
                <w:rFonts w:ascii="仿宋" w:eastAsia="仿宋" w:hAnsi="仿宋" w:cs="仿宋" w:hint="eastAsia"/>
                <w:kern w:val="0"/>
                <w:szCs w:val="21"/>
              </w:rPr>
              <w:br/>
              <w:t>该项得分=（绩效办对应部分考核实得分/绩效办对应部分考核应得分）*8</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8</w:t>
            </w:r>
          </w:p>
        </w:tc>
      </w:tr>
      <w:tr w:rsidR="00F05774" w:rsidTr="003B32A2">
        <w:trPr>
          <w:jc w:val="center"/>
        </w:trPr>
        <w:tc>
          <w:tcPr>
            <w:tcW w:w="679"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64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履职效益</w:t>
            </w:r>
          </w:p>
        </w:tc>
        <w:tc>
          <w:tcPr>
            <w:tcW w:w="585"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10</w:t>
            </w:r>
          </w:p>
        </w:tc>
        <w:tc>
          <w:tcPr>
            <w:tcW w:w="855"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经济</w:t>
            </w:r>
          </w:p>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效益</w:t>
            </w:r>
          </w:p>
        </w:tc>
        <w:tc>
          <w:tcPr>
            <w:tcW w:w="496" w:type="dxa"/>
            <w:vMerge w:val="restart"/>
            <w:tcBorders>
              <w:top w:val="nil"/>
              <w:left w:val="single" w:sz="4" w:space="0" w:color="auto"/>
              <w:bottom w:val="nil"/>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10</w:t>
            </w:r>
          </w:p>
        </w:tc>
        <w:tc>
          <w:tcPr>
            <w:tcW w:w="5981" w:type="dxa"/>
            <w:gridSpan w:val="2"/>
            <w:vMerge w:val="restart"/>
            <w:tcBorders>
              <w:top w:val="single" w:sz="4" w:space="0" w:color="auto"/>
              <w:left w:val="single" w:sz="4" w:space="0" w:color="auto"/>
              <w:bottom w:val="nil"/>
              <w:right w:val="single" w:sz="4" w:space="0" w:color="000000"/>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3</w:t>
            </w:r>
          </w:p>
        </w:tc>
      </w:tr>
      <w:tr w:rsidR="00F05774" w:rsidTr="003B32A2">
        <w:trPr>
          <w:jc w:val="center"/>
        </w:trPr>
        <w:tc>
          <w:tcPr>
            <w:tcW w:w="679"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64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社会</w:t>
            </w:r>
          </w:p>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效益</w:t>
            </w:r>
          </w:p>
        </w:tc>
        <w:tc>
          <w:tcPr>
            <w:tcW w:w="496" w:type="dxa"/>
            <w:vMerge/>
            <w:tcBorders>
              <w:top w:val="nil"/>
              <w:left w:val="single" w:sz="4" w:space="0" w:color="auto"/>
              <w:bottom w:val="nil"/>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981" w:type="dxa"/>
            <w:gridSpan w:val="2"/>
            <w:vMerge/>
            <w:tcBorders>
              <w:top w:val="single" w:sz="4" w:space="0" w:color="auto"/>
              <w:left w:val="single" w:sz="4" w:space="0" w:color="auto"/>
              <w:bottom w:val="nil"/>
              <w:right w:val="single" w:sz="4" w:space="0" w:color="000000"/>
            </w:tcBorders>
            <w:vAlign w:val="center"/>
          </w:tcPr>
          <w:p w:rsidR="00F05774" w:rsidRDefault="00F05774" w:rsidP="003B32A2">
            <w:pPr>
              <w:spacing w:line="300" w:lineRule="exact"/>
              <w:rPr>
                <w:rFonts w:ascii="仿宋" w:eastAsia="仿宋" w:hAnsi="仿宋" w:cs="仿宋"/>
                <w:szCs w:val="21"/>
              </w:rPr>
            </w:pPr>
          </w:p>
        </w:tc>
        <w:tc>
          <w:tcPr>
            <w:tcW w:w="637" w:type="dxa"/>
            <w:tcBorders>
              <w:top w:val="nil"/>
              <w:left w:val="nil"/>
              <w:bottom w:val="nil"/>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4</w:t>
            </w:r>
          </w:p>
        </w:tc>
      </w:tr>
      <w:tr w:rsidR="00F05774" w:rsidTr="003B32A2">
        <w:trPr>
          <w:jc w:val="center"/>
        </w:trPr>
        <w:tc>
          <w:tcPr>
            <w:tcW w:w="679"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64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val="restart"/>
            <w:tcBorders>
              <w:top w:val="nil"/>
              <w:left w:val="single" w:sz="4" w:space="0" w:color="auto"/>
              <w:bottom w:val="single" w:sz="4" w:space="0" w:color="000000"/>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12</w:t>
            </w: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行政效能</w:t>
            </w:r>
          </w:p>
        </w:tc>
        <w:tc>
          <w:tcPr>
            <w:tcW w:w="496"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6</w:t>
            </w:r>
          </w:p>
        </w:tc>
        <w:tc>
          <w:tcPr>
            <w:tcW w:w="3259"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促进部门改进文风会风，加强经费及资产管理，推动网上办事，提高行政效率，降低行政成本效果较好的计6分；一般3分；无效果或者效果不明显0分。</w:t>
            </w:r>
          </w:p>
        </w:tc>
        <w:tc>
          <w:tcPr>
            <w:tcW w:w="2722"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根据部门自评材料评定。</w:t>
            </w:r>
          </w:p>
        </w:tc>
        <w:tc>
          <w:tcPr>
            <w:tcW w:w="637" w:type="dxa"/>
            <w:tcBorders>
              <w:top w:val="single" w:sz="4" w:space="0" w:color="auto"/>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5</w:t>
            </w:r>
          </w:p>
        </w:tc>
      </w:tr>
      <w:tr w:rsidR="00F05774" w:rsidTr="003B32A2">
        <w:trPr>
          <w:jc w:val="center"/>
        </w:trPr>
        <w:tc>
          <w:tcPr>
            <w:tcW w:w="679"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64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720"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585" w:type="dxa"/>
            <w:vMerge/>
            <w:tcBorders>
              <w:top w:val="nil"/>
              <w:left w:val="single" w:sz="4" w:space="0" w:color="auto"/>
              <w:bottom w:val="single" w:sz="4" w:space="0" w:color="000000"/>
              <w:right w:val="single" w:sz="4" w:space="0" w:color="auto"/>
            </w:tcBorders>
            <w:vAlign w:val="center"/>
          </w:tcPr>
          <w:p w:rsidR="00F05774" w:rsidRDefault="00F05774" w:rsidP="003B32A2">
            <w:pPr>
              <w:spacing w:line="300" w:lineRule="exact"/>
              <w:rPr>
                <w:rFonts w:ascii="仿宋" w:eastAsia="仿宋" w:hAnsi="仿宋" w:cs="仿宋"/>
                <w:szCs w:val="21"/>
              </w:rPr>
            </w:pPr>
          </w:p>
        </w:tc>
        <w:tc>
          <w:tcPr>
            <w:tcW w:w="855"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社会公众或服务对象满意度</w:t>
            </w:r>
          </w:p>
        </w:tc>
        <w:tc>
          <w:tcPr>
            <w:tcW w:w="496"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center"/>
              <w:rPr>
                <w:rFonts w:ascii="仿宋" w:eastAsia="仿宋" w:hAnsi="仿宋" w:cs="仿宋"/>
                <w:kern w:val="0"/>
                <w:szCs w:val="21"/>
              </w:rPr>
            </w:pPr>
            <w:r>
              <w:rPr>
                <w:rFonts w:ascii="仿宋" w:eastAsia="仿宋" w:hAnsi="仿宋" w:cs="仿宋" w:hint="eastAsia"/>
                <w:kern w:val="0"/>
                <w:szCs w:val="21"/>
              </w:rPr>
              <w:t>6</w:t>
            </w:r>
          </w:p>
        </w:tc>
        <w:tc>
          <w:tcPr>
            <w:tcW w:w="3259"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90%（含）以上计6分；</w:t>
            </w:r>
            <w:r>
              <w:rPr>
                <w:rFonts w:ascii="仿宋" w:eastAsia="仿宋" w:hAnsi="仿宋" w:cs="仿宋" w:hint="eastAsia"/>
                <w:kern w:val="0"/>
                <w:szCs w:val="21"/>
              </w:rPr>
              <w:br/>
              <w:t>80%（含）-90%，计4分；</w:t>
            </w:r>
            <w:r>
              <w:rPr>
                <w:rFonts w:ascii="仿宋" w:eastAsia="仿宋" w:hAnsi="仿宋" w:cs="仿宋" w:hint="eastAsia"/>
                <w:kern w:val="0"/>
                <w:szCs w:val="21"/>
              </w:rPr>
              <w:br/>
              <w:t>70%（含）-80%，计2分；</w:t>
            </w:r>
            <w:r>
              <w:rPr>
                <w:rFonts w:ascii="仿宋" w:eastAsia="仿宋" w:hAnsi="仿宋" w:cs="仿宋" w:hint="eastAsia"/>
                <w:kern w:val="0"/>
                <w:szCs w:val="21"/>
              </w:rPr>
              <w:br/>
              <w:t>低于70%计0分。</w:t>
            </w:r>
          </w:p>
        </w:tc>
        <w:tc>
          <w:tcPr>
            <w:tcW w:w="2722"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F05774" w:rsidRDefault="00F05774" w:rsidP="003B32A2">
            <w:pPr>
              <w:widowControl/>
              <w:spacing w:line="300" w:lineRule="exact"/>
              <w:jc w:val="left"/>
              <w:rPr>
                <w:rFonts w:ascii="仿宋" w:eastAsia="仿宋" w:hAnsi="仿宋" w:cs="仿宋"/>
                <w:kern w:val="0"/>
                <w:szCs w:val="21"/>
              </w:rPr>
            </w:pPr>
            <w:r>
              <w:rPr>
                <w:rFonts w:ascii="仿宋" w:eastAsia="仿宋" w:hAnsi="仿宋" w:cs="仿宋" w:hint="eastAsia"/>
                <w:kern w:val="0"/>
                <w:szCs w:val="21"/>
              </w:rPr>
              <w:t xml:space="preserve">　6</w:t>
            </w:r>
          </w:p>
        </w:tc>
      </w:tr>
    </w:tbl>
    <w:p w:rsidR="00737A9D" w:rsidRDefault="00F05774">
      <w:r>
        <w:rPr>
          <w:rFonts w:ascii="仿宋" w:eastAsia="仿宋" w:hAnsi="仿宋" w:cs="仿宋" w:hint="eastAsia"/>
          <w:sz w:val="32"/>
          <w:szCs w:val="32"/>
        </w:rPr>
        <w:br w:type="page"/>
      </w:r>
    </w:p>
    <w:sectPr w:rsidR="00737A9D" w:rsidSect="00737A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5774"/>
    <w:rsid w:val="0058283B"/>
    <w:rsid w:val="00737A9D"/>
    <w:rsid w:val="00F05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1435</Characters>
  <Application>Microsoft Office Word</Application>
  <DocSecurity>0</DocSecurity>
  <Lines>11</Lines>
  <Paragraphs>3</Paragraphs>
  <ScaleCrop>false</ScaleCrop>
  <Company>Sky123.Org</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2022-08-24T07:57:00Z</dcterms:created>
  <dcterms:modified xsi:type="dcterms:W3CDTF">2022-08-24T07:57:00Z</dcterms:modified>
</cp:coreProperties>
</file>