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32"/>
          <w:szCs w:val="32"/>
        </w:rPr>
      </w:pPr>
      <w:r>
        <w:rPr>
          <w:rFonts w:hint="eastAsia" w:ascii="黑体" w:eastAsia="黑体" w:cs="仿宋"/>
          <w:kern w:val="0"/>
          <w:sz w:val="32"/>
          <w:szCs w:val="32"/>
        </w:rPr>
        <w:t>附件3</w:t>
      </w:r>
    </w:p>
    <w:p>
      <w:pPr>
        <w:spacing w:afterLines="50"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 w:cs="仿宋_GB2312"/>
          <w:kern w:val="0"/>
          <w:sz w:val="24"/>
        </w:rPr>
        <w:t>填报单位：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4"/>
        <w:tblW w:w="103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0"/>
        <w:gridCol w:w="1190"/>
        <w:gridCol w:w="1170"/>
        <w:gridCol w:w="1130"/>
        <w:gridCol w:w="1465"/>
        <w:gridCol w:w="970"/>
        <w:gridCol w:w="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财政供养人员情况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编制数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实际在职人数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—</w:t>
            </w:r>
            <w:r>
              <w:rPr>
                <w:rFonts w:hint="default" w:ascii="Calibri" w:hAnsi="Calibri" w:eastAsia="仿宋" w:cs="Calibri"/>
                <w:sz w:val="24"/>
                <w:szCs w:val="24"/>
              </w:rPr>
              <w:t>2%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经费控制情况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年决算数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预算数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三公经费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0.</w:t>
            </w:r>
            <w:r>
              <w:rPr>
                <w:rFonts w:hint="eastAsia" w:ascii="Calibri" w:hAnsi="Calibri" w:eastAsia="仿宋" w:cs="Calibri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4"/>
              </w:rPr>
              <w:t>、公务用车购置和维护经费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其中：公车购置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公车运行维护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4"/>
              </w:rPr>
              <w:t>、出国经费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4"/>
              </w:rPr>
              <w:t>、公务接待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0.</w:t>
            </w:r>
            <w:r>
              <w:rPr>
                <w:rFonts w:hint="eastAsia" w:ascii="Calibri" w:hAnsi="Calibri" w:eastAsia="仿宋" w:cs="Calibri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项目支出：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1</w:t>
            </w:r>
            <w:r>
              <w:rPr>
                <w:rFonts w:hint="eastAsia" w:eastAsia="仿宋_GB2312" w:cs="仿宋_GB2312"/>
                <w:kern w:val="0"/>
                <w:sz w:val="24"/>
              </w:rPr>
              <w:t>、业务工作专项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2</w:t>
            </w:r>
            <w:r>
              <w:rPr>
                <w:rFonts w:hint="eastAsia" w:eastAsia="仿宋_GB2312" w:cs="仿宋_GB2312"/>
                <w:kern w:val="0"/>
                <w:sz w:val="24"/>
              </w:rPr>
              <w:t>、运行维护专项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……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公用经费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8.9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29.56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35.28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bookmarkStart w:id="0" w:name="_GoBack" w:colFirst="1" w:colLast="6"/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4"/>
              </w:rPr>
              <w:t>其中：办公经费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Calibri" w:hAnsi="Calibri"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1.99</w:t>
            </w: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水费、电费、差旅费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8.3</w:t>
            </w:r>
            <w:r>
              <w:rPr>
                <w:rFonts w:hint="default" w:ascii="仿宋_GB2312" w:hAnsi="仿宋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</w:t>
            </w: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会议费、培训费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仿宋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仿宋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19.06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29.69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政府采购金额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部门整体支出预算调整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厉行节约保障措施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Cs w:val="32"/>
              </w:rPr>
              <w:t>加强经费开支的计划性，优化支出结构。做好财务管理的基础工作，强化经费开支的日常管理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</w:tbl>
    <w:p>
      <w:pPr>
        <w:widowControl/>
        <w:ind w:right="-1050"/>
        <w:jc w:val="left"/>
        <w:rPr>
          <w:rFonts w:ascii="仿宋_GB2312" w:eastAsia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 w:cs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 w:cs="仿宋_GB2312"/>
          <w:kern w:val="0"/>
          <w:sz w:val="22"/>
          <w:szCs w:val="22"/>
        </w:rPr>
        <w:t>需要填报除专项资金和基本支出以外的所有项目情况，包括业务工作项目、运行维护项目等；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 w:cs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 w:cs="仿宋_GB2312"/>
          <w:kern w:val="0"/>
          <w:sz w:val="22"/>
          <w:szCs w:val="22"/>
        </w:rPr>
        <w:t>填报基本支出中的一般商品和服务支出。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M2QwZjRhNGI0YzcxNzlhYTgzNTBmZWUwYzY4MGQifQ=="/>
  </w:docVars>
  <w:rsids>
    <w:rsidRoot w:val="3CC128F5"/>
    <w:rsid w:val="1E702F62"/>
    <w:rsid w:val="214D0612"/>
    <w:rsid w:val="3CC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2022-08-26T03:00:00Z</dcterms:created>
  <dc:creator>Administrator</dc:creator>
  <cp:lastModifiedBy>Administrator</cp:lastModifiedBy>
  <dcterms:modified xsi:type="dcterms:W3CDTF">2023-07-12T07:38:49Z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97E8E60B026B47D98E070E2AB0C34847</vt:lpwstr>
  </property>
</Properties>
</file>