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绥宁县疾控中心2021年度中央对地方转移支付重大传染病防控项目绩效评价报告</w:t>
      </w:r>
    </w:p>
    <w:p>
      <w:pPr>
        <w:ind w:firstLine="640" w:firstLineChars="200"/>
        <w:rPr>
          <w:rFonts w:hint="eastAsia" w:ascii="仿宋" w:hAnsi="仿宋" w:eastAsia="仿宋" w:cs="仿宋"/>
          <w:sz w:val="32"/>
          <w:szCs w:val="32"/>
          <w:lang w:val="en-US" w:eastAsia="zh-CN"/>
        </w:rPr>
      </w:pPr>
    </w:p>
    <w:p>
      <w:pPr>
        <w:spacing w:line="600" w:lineRule="exact"/>
        <w:ind w:firstLine="640" w:firstLineChars="200"/>
        <w:jc w:val="left"/>
        <w:rPr>
          <w:rFonts w:hint="eastAsia" w:ascii="仿宋" w:hAnsi="仿宋" w:eastAsia="仿宋"/>
          <w:b w:val="0"/>
          <w:bCs w:val="0"/>
          <w:sz w:val="32"/>
          <w:szCs w:val="32"/>
        </w:rPr>
      </w:pPr>
      <w:r>
        <w:rPr>
          <w:rFonts w:hint="eastAsia" w:ascii="仿宋" w:hAnsi="仿宋" w:eastAsia="仿宋" w:cs="仿宋"/>
          <w:sz w:val="32"/>
          <w:szCs w:val="32"/>
          <w:lang w:val="en-US" w:eastAsia="zh-CN"/>
        </w:rPr>
        <w:t>根椐《</w:t>
      </w:r>
      <w:r>
        <w:rPr>
          <w:rFonts w:hint="eastAsia" w:ascii="仿宋" w:hAnsi="仿宋" w:eastAsia="仿宋" w:cs="仿宋"/>
          <w:sz w:val="32"/>
          <w:szCs w:val="32"/>
          <w:lang w:val="en" w:eastAsia="zh-CN"/>
        </w:rPr>
        <w:t>湖南省卫生健康委关于开展</w:t>
      </w:r>
      <w:r>
        <w:rPr>
          <w:rFonts w:hint="eastAsia" w:ascii="仿宋" w:hAnsi="仿宋" w:eastAsia="仿宋" w:cs="仿宋"/>
          <w:sz w:val="32"/>
          <w:szCs w:val="32"/>
          <w:lang w:val="en-US" w:eastAsia="zh-CN"/>
        </w:rPr>
        <w:t>2021年度中央、省级财政资金绩效评价和部门整体支出绩效评价工作的通知》的要求，</w:t>
      </w:r>
      <w:r>
        <w:rPr>
          <w:rFonts w:hint="eastAsia" w:ascii="仿宋" w:hAnsi="仿宋" w:eastAsia="仿宋"/>
          <w:b w:val="0"/>
          <w:bCs w:val="0"/>
          <w:sz w:val="32"/>
          <w:szCs w:val="32"/>
        </w:rPr>
        <w:t>结合我中心专项资金的绩效情况进行了</w:t>
      </w:r>
      <w:r>
        <w:rPr>
          <w:rFonts w:hint="eastAsia" w:ascii="仿宋" w:hAnsi="仿宋" w:eastAsia="仿宋"/>
          <w:b w:val="0"/>
          <w:bCs w:val="0"/>
          <w:sz w:val="32"/>
          <w:szCs w:val="32"/>
          <w:lang w:eastAsia="zh-CN"/>
        </w:rPr>
        <w:t>评价</w:t>
      </w:r>
      <w:r>
        <w:rPr>
          <w:rFonts w:hint="eastAsia" w:ascii="仿宋" w:hAnsi="仿宋" w:eastAsia="仿宋"/>
          <w:b w:val="0"/>
          <w:bCs w:val="0"/>
          <w:sz w:val="32"/>
          <w:szCs w:val="32"/>
        </w:rPr>
        <w:t>，现将</w:t>
      </w:r>
      <w:r>
        <w:rPr>
          <w:rFonts w:hint="eastAsia" w:ascii="仿宋" w:hAnsi="仿宋" w:eastAsia="仿宋"/>
          <w:b w:val="0"/>
          <w:bCs w:val="0"/>
          <w:sz w:val="32"/>
          <w:szCs w:val="32"/>
          <w:lang w:eastAsia="zh-CN"/>
        </w:rPr>
        <w:t>评价</w:t>
      </w:r>
      <w:r>
        <w:rPr>
          <w:rFonts w:hint="eastAsia" w:ascii="仿宋" w:hAnsi="仿宋" w:eastAsia="仿宋"/>
          <w:b w:val="0"/>
          <w:bCs w:val="0"/>
          <w:sz w:val="32"/>
          <w:szCs w:val="32"/>
        </w:rPr>
        <w:t>情况汇报如下：</w:t>
      </w:r>
    </w:p>
    <w:p>
      <w:pPr>
        <w:numPr>
          <w:ilvl w:val="0"/>
          <w:numId w:val="1"/>
        </w:numPr>
        <w:ind w:firstLine="643" w:firstLineChars="200"/>
        <w:rPr>
          <w:rFonts w:hint="eastAsia" w:ascii="仿宋" w:hAnsi="仿宋" w:eastAsia="仿宋" w:cs="仿宋"/>
          <w:b/>
          <w:bCs/>
          <w:color w:val="000000"/>
          <w:kern w:val="0"/>
          <w:sz w:val="32"/>
          <w:szCs w:val="32"/>
        </w:rPr>
      </w:pPr>
      <w:r>
        <w:rPr>
          <w:rFonts w:hint="eastAsia" w:ascii="仿宋" w:hAnsi="仿宋" w:eastAsia="仿宋"/>
          <w:b/>
          <w:bCs/>
          <w:sz w:val="32"/>
          <w:szCs w:val="32"/>
          <w:lang w:eastAsia="zh-CN"/>
        </w:rPr>
        <w:t>项目基本情况</w:t>
      </w:r>
    </w:p>
    <w:p>
      <w:pPr>
        <w:numPr>
          <w:ilvl w:val="0"/>
          <w:numId w:val="0"/>
        </w:numPr>
        <w:ind w:firstLine="640" w:firstLineChars="200"/>
        <w:rPr>
          <w:rFonts w:hint="eastAsia" w:ascii="仿宋" w:hAnsi="仿宋" w:eastAsia="仿宋" w:cs="仿宋"/>
          <w:color w:val="000000"/>
          <w:kern w:val="0"/>
          <w:sz w:val="32"/>
          <w:szCs w:val="32"/>
        </w:rPr>
      </w:pPr>
      <w:r>
        <w:rPr>
          <w:rFonts w:hint="eastAsia" w:ascii="仿宋" w:hAnsi="仿宋" w:eastAsia="仿宋"/>
          <w:b w:val="0"/>
          <w:bCs w:val="0"/>
          <w:sz w:val="32"/>
          <w:szCs w:val="32"/>
          <w:lang w:val="en-US" w:eastAsia="zh-CN"/>
        </w:rPr>
        <w:t>（一）项目概况：重大传染病防控项目包括：新冠肺炎疫情防控、扩大国家免疫规划、艾滋病防治、结核病防治、精神卫生与慢性非传染性疾病防治，覆盖17个乡镇38万人口。</w:t>
      </w:r>
      <w:r>
        <w:rPr>
          <w:rFonts w:hint="eastAsia" w:ascii="仿宋" w:hAnsi="仿宋" w:eastAsia="仿宋" w:cs="仿宋"/>
          <w:kern w:val="0"/>
          <w:sz w:val="32"/>
          <w:szCs w:val="32"/>
        </w:rPr>
        <w:t>项目</w:t>
      </w:r>
      <w:r>
        <w:rPr>
          <w:rFonts w:hint="eastAsia" w:ascii="仿宋" w:hAnsi="仿宋" w:eastAsia="仿宋" w:cs="仿宋"/>
          <w:kern w:val="0"/>
          <w:sz w:val="32"/>
          <w:szCs w:val="32"/>
          <w:lang w:eastAsia="zh-CN"/>
        </w:rPr>
        <w:t>开展</w:t>
      </w:r>
      <w:r>
        <w:rPr>
          <w:rFonts w:hint="eastAsia" w:ascii="仿宋" w:hAnsi="仿宋" w:eastAsia="仿宋" w:cs="仿宋"/>
          <w:kern w:val="0"/>
          <w:sz w:val="32"/>
          <w:szCs w:val="32"/>
        </w:rPr>
        <w:t>制订并实施</w:t>
      </w:r>
      <w:r>
        <w:rPr>
          <w:rFonts w:hint="eastAsia" w:ascii="仿宋" w:hAnsi="仿宋" w:eastAsia="仿宋"/>
          <w:b w:val="0"/>
          <w:bCs w:val="0"/>
          <w:sz w:val="32"/>
          <w:szCs w:val="32"/>
          <w:lang w:val="en-US" w:eastAsia="zh-CN"/>
        </w:rPr>
        <w:t>新冠肺炎疫情防控、</w:t>
      </w:r>
      <w:r>
        <w:rPr>
          <w:rFonts w:hint="eastAsia" w:ascii="仿宋" w:hAnsi="仿宋" w:eastAsia="仿宋" w:cs="仿宋"/>
          <w:kern w:val="0"/>
          <w:sz w:val="32"/>
          <w:szCs w:val="32"/>
          <w:lang w:eastAsia="zh-CN"/>
        </w:rPr>
        <w:t>扩大国家免疫规划、艾滋病防治、结核病防治、血吸虫与包虫病防治、精神卫生与慢性非传染疾病防治</w:t>
      </w:r>
      <w:r>
        <w:rPr>
          <w:rFonts w:hint="eastAsia" w:ascii="仿宋" w:hAnsi="仿宋" w:eastAsia="仿宋" w:cs="仿宋"/>
          <w:kern w:val="0"/>
          <w:sz w:val="32"/>
          <w:szCs w:val="32"/>
          <w:lang w:val="en-US" w:eastAsia="zh-CN"/>
        </w:rPr>
        <w:t>6个项目工作任务，我中心开展了5个项目，分别是：</w:t>
      </w:r>
      <w:r>
        <w:rPr>
          <w:rFonts w:hint="eastAsia" w:ascii="仿宋" w:hAnsi="仿宋" w:eastAsia="仿宋"/>
          <w:b w:val="0"/>
          <w:bCs w:val="0"/>
          <w:sz w:val="32"/>
          <w:szCs w:val="32"/>
          <w:lang w:val="en-US" w:eastAsia="zh-CN"/>
        </w:rPr>
        <w:t>新冠肺炎疫情防控、</w:t>
      </w:r>
      <w:r>
        <w:rPr>
          <w:rFonts w:hint="eastAsia" w:ascii="仿宋" w:hAnsi="仿宋" w:eastAsia="仿宋" w:cs="仿宋"/>
          <w:kern w:val="0"/>
          <w:sz w:val="32"/>
          <w:szCs w:val="32"/>
          <w:lang w:eastAsia="zh-CN"/>
        </w:rPr>
        <w:t>扩大国家免疫规划、艾滋病防治、结核病防治、精神卫生与慢性非传染疾病防治，</w:t>
      </w:r>
      <w:r>
        <w:rPr>
          <w:rFonts w:hint="eastAsia" w:ascii="仿宋" w:hAnsi="仿宋" w:eastAsia="仿宋" w:cs="仿宋"/>
          <w:kern w:val="0"/>
          <w:sz w:val="32"/>
          <w:szCs w:val="32"/>
        </w:rPr>
        <w:t>负责中毒事故等卫生突发事件的现场卫生学调查、采样检验和预防控制工作，健康相关产品卫生学评价，承担有关部门委托的卫生检验、检测业务，负责预防性生物制品的使用管理，并监督指导儿童计划免疫工作，</w:t>
      </w:r>
      <w:r>
        <w:rPr>
          <w:rFonts w:hint="eastAsia" w:ascii="仿宋" w:hAnsi="仿宋" w:eastAsia="仿宋" w:cs="仿宋"/>
          <w:color w:val="000000"/>
          <w:kern w:val="0"/>
          <w:sz w:val="32"/>
          <w:szCs w:val="32"/>
        </w:rPr>
        <w:t>负责</w:t>
      </w:r>
      <w:r>
        <w:rPr>
          <w:rFonts w:hint="eastAsia" w:ascii="仿宋" w:hAnsi="仿宋" w:eastAsia="仿宋" w:cs="仿宋"/>
          <w:kern w:val="0"/>
          <w:sz w:val="32"/>
          <w:szCs w:val="32"/>
          <w:lang w:eastAsia="zh-CN"/>
        </w:rPr>
        <w:t>结核病防治管理、艾滋病防治管理、</w:t>
      </w:r>
      <w:r>
        <w:rPr>
          <w:rFonts w:hint="eastAsia" w:ascii="仿宋" w:hAnsi="仿宋" w:eastAsia="仿宋" w:cs="仿宋"/>
          <w:color w:val="000000"/>
          <w:kern w:val="0"/>
          <w:sz w:val="32"/>
          <w:szCs w:val="32"/>
        </w:rPr>
        <w:t>突发公共卫生事件的现场流行病学调查、卫生学调查、采样检验等疾病预防控制；负责救灾防病；负责公共场所从业人员预防性健康检查和相关食品卫生监测；承担卫生行政部门和卫生监督机构及有关部门委托的卫生检测任务；负责全县疾病预防控制知识的普及与宣传。</w:t>
      </w:r>
    </w:p>
    <w:p>
      <w:pPr>
        <w:ind w:firstLine="640" w:firstLineChars="200"/>
        <w:rPr>
          <w:rFonts w:hint="eastAsia" w:ascii="仿宋" w:hAnsi="仿宋" w:eastAsia="仿宋" w:cs="仿宋"/>
          <w:color w:val="444444"/>
          <w:sz w:val="32"/>
          <w:szCs w:val="32"/>
        </w:rPr>
      </w:pPr>
      <w:r>
        <w:rPr>
          <w:rFonts w:hint="eastAsia" w:ascii="仿宋" w:hAnsi="仿宋" w:eastAsia="仿宋"/>
          <w:b w:val="0"/>
          <w:bCs w:val="0"/>
          <w:sz w:val="32"/>
          <w:szCs w:val="32"/>
          <w:lang w:val="en-US" w:eastAsia="zh-CN"/>
        </w:rPr>
        <w:t>（二）项目绩效目标情况：中央对我县重大传染病防控项目经费共计109.11万元，</w:t>
      </w:r>
      <w:r>
        <w:rPr>
          <w:rFonts w:hint="eastAsia" w:ascii="仿宋" w:hAnsi="仿宋" w:eastAsia="仿宋"/>
          <w:b/>
          <w:bCs/>
          <w:sz w:val="32"/>
          <w:szCs w:val="32"/>
          <w:lang w:val="en-US" w:eastAsia="zh-CN"/>
        </w:rPr>
        <w:t>一</w:t>
      </w:r>
      <w:r>
        <w:rPr>
          <w:rFonts w:hint="eastAsia" w:ascii="仿宋" w:hAnsi="仿宋" w:eastAsia="仿宋" w:cs="仿宋"/>
          <w:b/>
          <w:bCs/>
          <w:sz w:val="32"/>
          <w:szCs w:val="32"/>
          <w:lang w:val="en-US" w:eastAsia="zh-CN"/>
        </w:rPr>
        <w:t>是</w:t>
      </w:r>
      <w:r>
        <w:rPr>
          <w:rFonts w:hint="eastAsia" w:ascii="仿宋" w:hAnsi="仿宋" w:eastAsia="仿宋" w:cs="仿宋"/>
          <w:sz w:val="32"/>
          <w:szCs w:val="32"/>
          <w:lang w:val="en-US" w:eastAsia="zh-CN"/>
        </w:rPr>
        <w:t>湘财预指[2020]0362号中央补助重大传染病防控项目83.2万元（艾滋病防治经费37.05万元，结核病防治经费26.8万元，精神卫生和慢病防治经费4.35万元，免疫规划15万元），8月份下达83.2万元。</w:t>
      </w:r>
      <w:r>
        <w:rPr>
          <w:rFonts w:hint="eastAsia" w:ascii="仿宋" w:hAnsi="仿宋" w:eastAsia="仿宋" w:cs="仿宋"/>
          <w:b/>
          <w:bCs/>
          <w:sz w:val="32"/>
          <w:szCs w:val="32"/>
          <w:lang w:val="en-US" w:eastAsia="zh-CN"/>
        </w:rPr>
        <w:t>二是</w:t>
      </w:r>
      <w:r>
        <w:rPr>
          <w:rFonts w:hint="eastAsia" w:ascii="仿宋" w:hAnsi="仿宋" w:eastAsia="仿宋" w:cs="仿宋"/>
          <w:sz w:val="32"/>
          <w:szCs w:val="32"/>
          <w:lang w:val="en-US" w:eastAsia="zh-CN"/>
        </w:rPr>
        <w:t>湘财预[2021]0049号重大传染病防控中央补助经费25.91万元（艾滋病防治经费14.5万元，结核病防治经费4.71万元，精神卫生和慢病防治经费2.7万元，新冠肺炎疫情防控经费4万元）。县财政12月下达25.91万元。</w:t>
      </w:r>
      <w:r>
        <w:rPr>
          <w:rFonts w:hint="eastAsia" w:ascii="仿宋" w:hAnsi="仿宋" w:eastAsia="仿宋" w:cs="仿宋"/>
          <w:color w:val="444444"/>
          <w:sz w:val="32"/>
          <w:szCs w:val="32"/>
        </w:rPr>
        <w:t>在专项资金管理使用上，严格按照国家规定的使用范围，专款专用，任何单位和个人都不得以任何借口和任何手法挤占和挪用。</w:t>
      </w:r>
    </w:p>
    <w:p>
      <w:pPr>
        <w:shd w:val="solid" w:color="FFFFFF" w:fill="auto"/>
        <w:autoSpaceDN w:val="0"/>
        <w:spacing w:line="560" w:lineRule="atLeas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二、项目实施及管理情况</w:t>
      </w:r>
    </w:p>
    <w:p>
      <w:pPr>
        <w:widowControl/>
        <w:numPr>
          <w:ilvl w:val="0"/>
          <w:numId w:val="0"/>
        </w:numPr>
        <w:spacing w:line="60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通过总目标的实施，新冠肺炎疫情常态化防控、分阶段进行</w:t>
      </w:r>
      <w:r>
        <w:rPr>
          <w:rFonts w:hint="eastAsia" w:ascii="仿宋" w:hAnsi="仿宋" w:eastAsia="仿宋" w:cs="仿宋"/>
          <w:kern w:val="0"/>
          <w:sz w:val="32"/>
          <w:szCs w:val="32"/>
        </w:rPr>
        <w:t>疾病预防与控制、</w:t>
      </w:r>
      <w:r>
        <w:rPr>
          <w:rFonts w:hint="eastAsia" w:ascii="仿宋" w:hAnsi="仿宋" w:eastAsia="仿宋" w:cs="仿宋"/>
          <w:kern w:val="0"/>
          <w:sz w:val="32"/>
          <w:szCs w:val="32"/>
          <w:lang w:eastAsia="zh-CN"/>
        </w:rPr>
        <w:t>结核病和艾滋病管理、</w:t>
      </w:r>
      <w:r>
        <w:rPr>
          <w:rFonts w:hint="eastAsia" w:ascii="仿宋" w:hAnsi="仿宋" w:eastAsia="仿宋" w:cs="仿宋"/>
          <w:kern w:val="0"/>
          <w:sz w:val="32"/>
          <w:szCs w:val="32"/>
        </w:rPr>
        <w:t>突发公共卫生事件应急处置、疫情报告及健康相关因素信息管理、健康危害因素监测与干预、实验室检测分析与评价、健康教育与健康促进、技术管理与应用研究指导</w:t>
      </w:r>
      <w:r>
        <w:rPr>
          <w:rFonts w:hint="eastAsia" w:ascii="仿宋" w:hAnsi="仿宋" w:eastAsia="仿宋" w:cs="仿宋"/>
          <w:kern w:val="0"/>
          <w:sz w:val="32"/>
          <w:szCs w:val="32"/>
          <w:lang w:eastAsia="zh-CN"/>
        </w:rPr>
        <w:t>和培训</w:t>
      </w:r>
      <w:r>
        <w:rPr>
          <w:rFonts w:hint="eastAsia" w:ascii="仿宋" w:hAnsi="仿宋" w:eastAsia="仿宋" w:cs="仿宋"/>
          <w:kern w:val="0"/>
          <w:sz w:val="32"/>
          <w:szCs w:val="32"/>
        </w:rPr>
        <w:t>。</w:t>
      </w:r>
    </w:p>
    <w:p>
      <w:pPr>
        <w:widowControl/>
        <w:numPr>
          <w:ilvl w:val="0"/>
          <w:numId w:val="0"/>
        </w:numPr>
        <w:spacing w:line="600" w:lineRule="atLeast"/>
        <w:ind w:firstLine="643" w:firstLineChars="200"/>
        <w:jc w:val="left"/>
        <w:rPr>
          <w:rFonts w:hint="eastAsia" w:ascii="仿宋" w:hAnsi="仿宋" w:eastAsia="仿宋" w:cs="仿宋"/>
          <w:b/>
          <w:bCs/>
          <w:kern w:val="0"/>
          <w:sz w:val="32"/>
          <w:szCs w:val="32"/>
          <w:lang w:eastAsia="zh-CN"/>
        </w:rPr>
      </w:pPr>
      <w:r>
        <w:rPr>
          <w:rFonts w:hint="eastAsia" w:ascii="仿宋" w:hAnsi="仿宋" w:eastAsia="仿宋" w:cs="仿宋"/>
          <w:b/>
          <w:bCs/>
          <w:kern w:val="0"/>
          <w:sz w:val="32"/>
          <w:szCs w:val="32"/>
          <w:lang w:eastAsia="zh-CN"/>
        </w:rPr>
        <w:t>三、项目绩效自评开展情况</w:t>
      </w:r>
    </w:p>
    <w:p>
      <w:pPr>
        <w:numPr>
          <w:ilvl w:val="0"/>
          <w:numId w:val="0"/>
        </w:numPr>
        <w:ind w:firstLine="640"/>
        <w:rPr>
          <w:rFonts w:hint="eastAsia" w:ascii="仿宋" w:hAnsi="仿宋" w:eastAsia="仿宋" w:cs="宋体"/>
          <w:b w:val="0"/>
          <w:bCs w:val="0"/>
          <w:kern w:val="0"/>
          <w:sz w:val="30"/>
          <w:szCs w:val="30"/>
          <w:lang w:val="en-US" w:eastAsia="zh-CN"/>
        </w:rPr>
      </w:pPr>
      <w:r>
        <w:rPr>
          <w:rFonts w:hint="eastAsia" w:ascii="仿宋" w:hAnsi="仿宋" w:eastAsia="仿宋" w:cs="宋体"/>
          <w:b w:val="0"/>
          <w:bCs w:val="0"/>
          <w:kern w:val="0"/>
          <w:sz w:val="30"/>
          <w:szCs w:val="30"/>
          <w:lang w:val="en-US" w:eastAsia="zh-CN"/>
        </w:rPr>
        <w:t>我单位</w:t>
      </w:r>
      <w:r>
        <w:rPr>
          <w:rFonts w:hint="eastAsia" w:ascii="仿宋" w:hAnsi="仿宋" w:eastAsia="仿宋" w:cs="仿宋"/>
          <w:sz w:val="32"/>
          <w:szCs w:val="32"/>
          <w:lang w:val="en-US" w:eastAsia="zh-CN"/>
        </w:rPr>
        <w:t>根椐《</w:t>
      </w:r>
      <w:r>
        <w:rPr>
          <w:rFonts w:hint="eastAsia" w:ascii="仿宋" w:hAnsi="仿宋" w:eastAsia="仿宋" w:cs="仿宋"/>
          <w:sz w:val="32"/>
          <w:szCs w:val="32"/>
          <w:lang w:val="en" w:eastAsia="zh-CN"/>
        </w:rPr>
        <w:t>湖南省卫生健康委关于开展</w:t>
      </w:r>
      <w:r>
        <w:rPr>
          <w:rFonts w:hint="eastAsia" w:ascii="仿宋" w:hAnsi="仿宋" w:eastAsia="仿宋" w:cs="仿宋"/>
          <w:sz w:val="32"/>
          <w:szCs w:val="32"/>
          <w:lang w:val="en-US" w:eastAsia="zh-CN"/>
        </w:rPr>
        <w:t>2021年度中央、省级财政资金绩效评价和部门整体支出绩效评价工作的通知》的要求，</w:t>
      </w:r>
      <w:r>
        <w:rPr>
          <w:rFonts w:hint="eastAsia" w:ascii="仿宋" w:hAnsi="仿宋" w:eastAsia="仿宋" w:cs="宋体"/>
          <w:b w:val="0"/>
          <w:bCs w:val="0"/>
          <w:kern w:val="0"/>
          <w:sz w:val="30"/>
          <w:szCs w:val="30"/>
          <w:lang w:val="en-US" w:eastAsia="zh-CN"/>
        </w:rPr>
        <w:t>成立了专项资金绩效评价工作领导小组。评价小组组织开展专项资金绩效评价工作，采取座谈等方式听取情况，检查专项资金到位和支出有关帐目，收集整理支出相关资料。评价小组就专项资金到位和支出情况进行分析和评价，资金到位时间比较晚，如能在年初元月到位是最好的，便于专项资金能合理的安排和使用。专项资金在使用过程中能做到专款专用。</w:t>
      </w:r>
    </w:p>
    <w:p>
      <w:pPr>
        <w:numPr>
          <w:ilvl w:val="0"/>
          <w:numId w:val="2"/>
        </w:numPr>
        <w:ind w:firstLine="640"/>
        <w:rPr>
          <w:rFonts w:hint="eastAsia" w:ascii="仿宋" w:hAnsi="仿宋" w:eastAsia="仿宋" w:cs="宋体"/>
          <w:b/>
          <w:bCs/>
          <w:kern w:val="0"/>
          <w:sz w:val="30"/>
          <w:szCs w:val="30"/>
          <w:lang w:val="en-US" w:eastAsia="zh-CN"/>
        </w:rPr>
      </w:pPr>
      <w:r>
        <w:rPr>
          <w:rFonts w:hint="eastAsia" w:ascii="仿宋" w:hAnsi="仿宋" w:eastAsia="仿宋" w:cs="宋体"/>
          <w:b/>
          <w:bCs/>
          <w:kern w:val="0"/>
          <w:sz w:val="30"/>
          <w:szCs w:val="30"/>
          <w:lang w:val="en-US" w:eastAsia="zh-CN"/>
        </w:rPr>
        <w:t>项目目标实现情况分析</w:t>
      </w:r>
    </w:p>
    <w:p>
      <w:pPr>
        <w:numPr>
          <w:ilvl w:val="0"/>
          <w:numId w:val="3"/>
        </w:numPr>
        <w:ind w:left="600" w:leftChars="0" w:firstLine="0" w:firstLineChars="0"/>
        <w:rPr>
          <w:rFonts w:hint="eastAsia" w:ascii="仿宋" w:hAnsi="仿宋" w:eastAsia="仿宋" w:cs="宋体"/>
          <w:b w:val="0"/>
          <w:bCs w:val="0"/>
          <w:kern w:val="0"/>
          <w:sz w:val="30"/>
          <w:szCs w:val="30"/>
          <w:lang w:val="en-US" w:eastAsia="zh-CN"/>
        </w:rPr>
      </w:pPr>
      <w:r>
        <w:rPr>
          <w:rFonts w:hint="eastAsia" w:ascii="仿宋" w:hAnsi="仿宋" w:eastAsia="仿宋" w:cs="宋体"/>
          <w:b w:val="0"/>
          <w:bCs w:val="0"/>
          <w:kern w:val="0"/>
          <w:sz w:val="30"/>
          <w:szCs w:val="30"/>
          <w:lang w:val="en-US" w:eastAsia="zh-CN"/>
        </w:rPr>
        <w:t>产出分析</w:t>
      </w:r>
    </w:p>
    <w:p>
      <w:pPr>
        <w:numPr>
          <w:ilvl w:val="0"/>
          <w:numId w:val="0"/>
        </w:numPr>
        <w:ind w:left="600" w:leftChars="0"/>
        <w:rPr>
          <w:rFonts w:hint="default" w:ascii="仿宋" w:hAnsi="仿宋" w:eastAsia="仿宋" w:cs="宋体"/>
          <w:b w:val="0"/>
          <w:bCs w:val="0"/>
          <w:kern w:val="0"/>
          <w:sz w:val="30"/>
          <w:szCs w:val="30"/>
          <w:lang w:val="en-US" w:eastAsia="zh-CN"/>
        </w:rPr>
      </w:pPr>
      <w:r>
        <w:rPr>
          <w:rFonts w:hint="eastAsia" w:ascii="仿宋" w:hAnsi="仿宋" w:eastAsia="仿宋" w:cs="宋体"/>
          <w:b w:val="0"/>
          <w:bCs w:val="0"/>
          <w:kern w:val="0"/>
          <w:sz w:val="30"/>
          <w:szCs w:val="30"/>
          <w:lang w:val="en-US" w:eastAsia="zh-CN"/>
        </w:rPr>
        <w:t>1、实施进度和数量</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bCs/>
          <w:sz w:val="32"/>
          <w:szCs w:val="32"/>
        </w:rPr>
        <w:t>免疫规划工作</w:t>
      </w:r>
      <w:r>
        <w:rPr>
          <w:rFonts w:hint="eastAsia" w:ascii="仿宋" w:hAnsi="仿宋" w:eastAsia="仿宋" w:cs="仿宋"/>
          <w:bCs/>
          <w:sz w:val="32"/>
          <w:szCs w:val="32"/>
          <w:lang w:eastAsia="zh-CN"/>
        </w:rPr>
        <w:t>：</w:t>
      </w:r>
      <w:r>
        <w:rPr>
          <w:rFonts w:hint="eastAsia" w:ascii="仿宋" w:hAnsi="仿宋" w:eastAsia="仿宋" w:cs="仿宋"/>
          <w:sz w:val="32"/>
          <w:szCs w:val="32"/>
          <w:lang w:eastAsia="zh-CN"/>
        </w:rPr>
        <w:t>提高适龄儿童一类疫苗</w:t>
      </w:r>
      <w:r>
        <w:rPr>
          <w:rFonts w:hint="eastAsia" w:ascii="仿宋" w:hAnsi="仿宋" w:eastAsia="仿宋" w:cs="仿宋"/>
          <w:sz w:val="32"/>
          <w:szCs w:val="32"/>
        </w:rPr>
        <w:t>种率</w:t>
      </w:r>
      <w:r>
        <w:rPr>
          <w:rFonts w:hint="eastAsia" w:ascii="仿宋" w:hAnsi="仿宋" w:eastAsia="仿宋" w:cs="仿宋"/>
          <w:sz w:val="32"/>
          <w:szCs w:val="32"/>
          <w:lang w:eastAsia="zh-CN"/>
        </w:rPr>
        <w:t>、规范完善扫码接种工作、</w:t>
      </w:r>
      <w:r>
        <w:rPr>
          <w:rFonts w:hint="eastAsia" w:ascii="仿宋" w:hAnsi="仿宋" w:eastAsia="仿宋" w:cs="仿宋"/>
          <w:sz w:val="32"/>
          <w:szCs w:val="32"/>
        </w:rPr>
        <w:t>降低疫苗可预防传染病的发病率</w:t>
      </w:r>
      <w:r>
        <w:rPr>
          <w:rFonts w:hint="eastAsia" w:ascii="仿宋" w:hAnsi="仿宋" w:eastAsia="仿宋" w:cs="仿宋"/>
          <w:sz w:val="32"/>
          <w:szCs w:val="32"/>
          <w:lang w:eastAsia="zh-CN"/>
        </w:rPr>
        <w:t>为重点，开展计划免疫划工作。本年度开展冷链运转</w:t>
      </w:r>
      <w:r>
        <w:rPr>
          <w:rFonts w:hint="eastAsia" w:ascii="仿宋" w:hAnsi="仿宋" w:eastAsia="仿宋" w:cs="仿宋"/>
          <w:sz w:val="32"/>
          <w:szCs w:val="32"/>
          <w:lang w:val="en-US" w:eastAsia="zh-CN"/>
        </w:rPr>
        <w:t>4次，开展扫码接种单位27家，覆盖率100%。全年报告AEFI 病例22例</w:t>
      </w:r>
      <w:r>
        <w:rPr>
          <w:rFonts w:hint="eastAsia" w:ascii="仿宋" w:hAnsi="仿宋" w:eastAsia="仿宋" w:cs="仿宋"/>
          <w:sz w:val="32"/>
          <w:szCs w:val="32"/>
        </w:rPr>
        <w:t>、AFP病例</w:t>
      </w:r>
      <w:r>
        <w:rPr>
          <w:rFonts w:hint="eastAsia" w:ascii="仿宋" w:hAnsi="仿宋" w:eastAsia="仿宋" w:cs="仿宋"/>
          <w:sz w:val="32"/>
          <w:szCs w:val="32"/>
          <w:lang w:eastAsia="zh-CN"/>
        </w:rPr>
        <w:t>报告</w:t>
      </w:r>
      <w:r>
        <w:rPr>
          <w:rFonts w:hint="eastAsia" w:ascii="仿宋" w:hAnsi="仿宋" w:eastAsia="仿宋" w:cs="仿宋"/>
          <w:sz w:val="32"/>
          <w:szCs w:val="32"/>
          <w:lang w:val="en-US" w:eastAsia="zh-CN"/>
        </w:rPr>
        <w:t>2例</w:t>
      </w:r>
      <w:r>
        <w:rPr>
          <w:rFonts w:hint="eastAsia" w:ascii="仿宋" w:hAnsi="仿宋" w:eastAsia="仿宋" w:cs="仿宋"/>
          <w:sz w:val="32"/>
          <w:szCs w:val="32"/>
        </w:rPr>
        <w:t>。</w:t>
      </w:r>
      <w:r>
        <w:rPr>
          <w:rFonts w:hint="eastAsia" w:ascii="仿宋" w:hAnsi="仿宋" w:eastAsia="仿宋" w:cs="仿宋"/>
          <w:sz w:val="32"/>
          <w:szCs w:val="32"/>
          <w:lang w:eastAsia="zh-CN"/>
        </w:rPr>
        <w:t>进一步加强</w:t>
      </w:r>
      <w:r>
        <w:rPr>
          <w:rFonts w:hint="eastAsia" w:ascii="仿宋" w:hAnsi="仿宋" w:eastAsia="仿宋" w:cs="仿宋"/>
          <w:sz w:val="32"/>
          <w:szCs w:val="32"/>
        </w:rPr>
        <w:t>麻疹</w:t>
      </w:r>
      <w:r>
        <w:rPr>
          <w:rFonts w:hint="eastAsia" w:ascii="仿宋" w:hAnsi="仿宋" w:eastAsia="仿宋" w:cs="仿宋"/>
          <w:sz w:val="32"/>
          <w:szCs w:val="32"/>
          <w:lang w:eastAsia="zh-CN"/>
        </w:rPr>
        <w:t>、乙脑、流脑等疫情</w:t>
      </w:r>
      <w:r>
        <w:rPr>
          <w:rFonts w:hint="eastAsia" w:ascii="仿宋" w:hAnsi="仿宋" w:eastAsia="仿宋" w:cs="仿宋"/>
          <w:sz w:val="32"/>
          <w:szCs w:val="32"/>
        </w:rPr>
        <w:t>监测工作，严防</w:t>
      </w:r>
      <w:r>
        <w:rPr>
          <w:rFonts w:hint="eastAsia" w:ascii="仿宋" w:hAnsi="仿宋" w:eastAsia="仿宋" w:cs="仿宋"/>
          <w:sz w:val="32"/>
          <w:szCs w:val="32"/>
          <w:lang w:eastAsia="zh-CN"/>
        </w:rPr>
        <w:t>相关</w:t>
      </w:r>
      <w:r>
        <w:rPr>
          <w:rFonts w:hint="eastAsia" w:ascii="仿宋" w:hAnsi="仿宋" w:eastAsia="仿宋" w:cs="仿宋"/>
          <w:sz w:val="32"/>
          <w:szCs w:val="32"/>
        </w:rPr>
        <w:t>疫情</w:t>
      </w:r>
      <w:r>
        <w:rPr>
          <w:rFonts w:hint="eastAsia" w:ascii="仿宋" w:hAnsi="仿宋" w:eastAsia="仿宋" w:cs="仿宋"/>
          <w:sz w:val="32"/>
          <w:szCs w:val="32"/>
          <w:lang w:eastAsia="zh-CN"/>
        </w:rPr>
        <w:t>的</w:t>
      </w:r>
      <w:r>
        <w:rPr>
          <w:rFonts w:hint="eastAsia" w:ascii="仿宋" w:hAnsi="仿宋" w:eastAsia="仿宋" w:cs="仿宋"/>
          <w:sz w:val="32"/>
          <w:szCs w:val="32"/>
        </w:rPr>
        <w:t>暴发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eastAsia="zh-CN"/>
        </w:rPr>
        <w:t>上半年</w:t>
      </w:r>
      <w:r>
        <w:rPr>
          <w:rFonts w:hint="eastAsia" w:ascii="仿宋" w:hAnsi="仿宋" w:eastAsia="仿宋" w:cs="仿宋"/>
          <w:sz w:val="32"/>
          <w:szCs w:val="32"/>
          <w:lang w:val="en-US" w:eastAsia="zh-CN"/>
        </w:rPr>
        <w:t>我县</w:t>
      </w:r>
      <w:r>
        <w:rPr>
          <w:rFonts w:hint="eastAsia" w:ascii="仿宋" w:hAnsi="仿宋" w:eastAsia="仿宋" w:cs="仿宋"/>
          <w:sz w:val="32"/>
          <w:szCs w:val="32"/>
          <w:lang w:eastAsia="zh-CN"/>
        </w:rPr>
        <w:t>无麻疹、风疹、乙脑、流脑等病例报告。报告接种：卡介苗应种</w:t>
      </w:r>
      <w:r>
        <w:rPr>
          <w:rFonts w:hint="eastAsia" w:ascii="仿宋" w:hAnsi="仿宋" w:eastAsia="仿宋" w:cs="仿宋"/>
          <w:sz w:val="32"/>
          <w:szCs w:val="32"/>
          <w:lang w:val="en-US" w:eastAsia="zh-CN"/>
        </w:rPr>
        <w:t>3158</w:t>
      </w:r>
      <w:r>
        <w:rPr>
          <w:rFonts w:hint="eastAsia" w:ascii="仿宋" w:hAnsi="仿宋" w:eastAsia="仿宋" w:cs="仿宋"/>
          <w:sz w:val="32"/>
          <w:szCs w:val="32"/>
          <w:lang w:eastAsia="zh-CN"/>
        </w:rPr>
        <w:t>，实接种</w:t>
      </w:r>
      <w:r>
        <w:rPr>
          <w:rFonts w:hint="eastAsia" w:ascii="仿宋" w:hAnsi="仿宋" w:eastAsia="仿宋" w:cs="仿宋"/>
          <w:sz w:val="32"/>
          <w:szCs w:val="32"/>
          <w:lang w:val="en-US" w:eastAsia="zh-CN"/>
        </w:rPr>
        <w:t>3158，</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62</w:t>
      </w:r>
      <w:r>
        <w:rPr>
          <w:rFonts w:hint="eastAsia" w:ascii="仿宋" w:hAnsi="仿宋" w:eastAsia="仿宋" w:cs="仿宋"/>
          <w:sz w:val="32"/>
          <w:szCs w:val="32"/>
          <w:lang w:eastAsia="zh-CN"/>
        </w:rPr>
        <w:t>%；乙肝苗应种</w:t>
      </w:r>
      <w:r>
        <w:rPr>
          <w:rFonts w:hint="eastAsia" w:ascii="仿宋" w:hAnsi="仿宋" w:eastAsia="仿宋" w:cs="仿宋"/>
          <w:sz w:val="32"/>
          <w:szCs w:val="32"/>
          <w:lang w:val="en-US" w:eastAsia="zh-CN"/>
        </w:rPr>
        <w:t>14243</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14212</w:t>
      </w:r>
      <w:r>
        <w:rPr>
          <w:rFonts w:hint="eastAsia" w:ascii="仿宋" w:hAnsi="仿宋" w:eastAsia="仿宋" w:cs="仿宋"/>
          <w:sz w:val="32"/>
          <w:szCs w:val="32"/>
          <w:lang w:eastAsia="zh-CN"/>
        </w:rPr>
        <w:t>，接种率9</w:t>
      </w:r>
      <w:r>
        <w:rPr>
          <w:rFonts w:hint="eastAsia" w:ascii="仿宋" w:hAnsi="仿宋" w:eastAsia="仿宋" w:cs="仿宋"/>
          <w:sz w:val="32"/>
          <w:szCs w:val="32"/>
          <w:lang w:val="en-US" w:eastAsia="zh-CN"/>
        </w:rPr>
        <w:t>9.69</w:t>
      </w:r>
      <w:r>
        <w:rPr>
          <w:rFonts w:hint="eastAsia" w:ascii="仿宋" w:hAnsi="仿宋" w:eastAsia="仿宋" w:cs="仿宋"/>
          <w:sz w:val="32"/>
          <w:szCs w:val="32"/>
          <w:lang w:eastAsia="zh-CN"/>
        </w:rPr>
        <w:t>%；脊灰疫苗应种</w:t>
      </w:r>
      <w:r>
        <w:rPr>
          <w:rFonts w:hint="eastAsia" w:ascii="仿宋" w:hAnsi="仿宋" w:eastAsia="仿宋" w:cs="仿宋"/>
          <w:sz w:val="32"/>
          <w:szCs w:val="32"/>
          <w:lang w:val="en-US" w:eastAsia="zh-CN"/>
        </w:rPr>
        <w:t>19458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19394</w:t>
      </w:r>
      <w:r>
        <w:rPr>
          <w:rFonts w:hint="eastAsia" w:ascii="仿宋" w:hAnsi="仿宋" w:eastAsia="仿宋" w:cs="仿宋"/>
          <w:sz w:val="32"/>
          <w:szCs w:val="32"/>
          <w:lang w:eastAsia="zh-CN"/>
        </w:rPr>
        <w:t>， 接种率99</w:t>
      </w:r>
      <w:r>
        <w:rPr>
          <w:rFonts w:hint="eastAsia" w:ascii="仿宋" w:hAnsi="仿宋" w:eastAsia="仿宋" w:cs="仿宋"/>
          <w:sz w:val="32"/>
          <w:szCs w:val="32"/>
          <w:lang w:val="en-US" w:eastAsia="zh-CN"/>
        </w:rPr>
        <w:t>.67</w:t>
      </w:r>
      <w:r>
        <w:rPr>
          <w:rFonts w:hint="eastAsia" w:ascii="仿宋" w:hAnsi="仿宋" w:eastAsia="仿宋" w:cs="仿宋"/>
          <w:sz w:val="32"/>
          <w:szCs w:val="32"/>
          <w:lang w:eastAsia="zh-CN"/>
        </w:rPr>
        <w:t>%；百白破应种</w:t>
      </w:r>
      <w:r>
        <w:rPr>
          <w:rFonts w:hint="eastAsia" w:ascii="仿宋" w:hAnsi="仿宋" w:eastAsia="仿宋" w:cs="仿宋"/>
          <w:sz w:val="32"/>
          <w:szCs w:val="32"/>
          <w:lang w:val="en-US" w:eastAsia="zh-CN"/>
        </w:rPr>
        <w:t>19222</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19157</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%；白破应种</w:t>
      </w:r>
      <w:r>
        <w:rPr>
          <w:rFonts w:hint="eastAsia" w:ascii="仿宋" w:hAnsi="仿宋" w:eastAsia="仿宋" w:cs="仿宋"/>
          <w:sz w:val="32"/>
          <w:szCs w:val="32"/>
          <w:lang w:val="en-US" w:eastAsia="zh-CN"/>
        </w:rPr>
        <w:t>4655</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4639</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%；麻苗类应种</w:t>
      </w:r>
      <w:r>
        <w:rPr>
          <w:rFonts w:hint="eastAsia" w:ascii="仿宋" w:hAnsi="仿宋" w:eastAsia="仿宋" w:cs="仿宋"/>
          <w:sz w:val="32"/>
          <w:szCs w:val="32"/>
          <w:lang w:val="en-US" w:eastAsia="zh-CN"/>
        </w:rPr>
        <w:t>9607</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9575</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67</w:t>
      </w:r>
      <w:r>
        <w:rPr>
          <w:rFonts w:hint="eastAsia" w:ascii="仿宋" w:hAnsi="仿宋" w:eastAsia="仿宋" w:cs="仿宋"/>
          <w:sz w:val="32"/>
          <w:szCs w:val="32"/>
          <w:lang w:eastAsia="zh-CN"/>
        </w:rPr>
        <w:t>%；A群流脑苗应种</w:t>
      </w:r>
      <w:r>
        <w:rPr>
          <w:rFonts w:hint="eastAsia" w:ascii="仿宋" w:hAnsi="仿宋" w:eastAsia="仿宋" w:cs="仿宋"/>
          <w:sz w:val="32"/>
          <w:szCs w:val="32"/>
          <w:lang w:val="en-US" w:eastAsia="zh-CN"/>
        </w:rPr>
        <w:t>9521</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9490</w:t>
      </w:r>
      <w:r>
        <w:rPr>
          <w:rFonts w:hint="eastAsia" w:ascii="仿宋" w:hAnsi="仿宋" w:eastAsia="仿宋" w:cs="仿宋"/>
          <w:sz w:val="32"/>
          <w:szCs w:val="32"/>
          <w:lang w:eastAsia="zh-CN"/>
        </w:rPr>
        <w:t>，接种率9</w:t>
      </w:r>
      <w:r>
        <w:rPr>
          <w:rFonts w:hint="eastAsia" w:ascii="仿宋" w:hAnsi="仿宋" w:eastAsia="仿宋" w:cs="仿宋"/>
          <w:sz w:val="32"/>
          <w:szCs w:val="32"/>
          <w:lang w:val="en-US" w:eastAsia="zh-CN"/>
        </w:rPr>
        <w:t>9.67</w:t>
      </w:r>
      <w:r>
        <w:rPr>
          <w:rFonts w:hint="eastAsia" w:ascii="仿宋" w:hAnsi="仿宋" w:eastAsia="仿宋" w:cs="仿宋"/>
          <w:sz w:val="32"/>
          <w:szCs w:val="32"/>
          <w:lang w:eastAsia="zh-CN"/>
        </w:rPr>
        <w:t>%；A+C应种</w:t>
      </w:r>
      <w:r>
        <w:rPr>
          <w:rFonts w:hint="eastAsia" w:ascii="仿宋" w:hAnsi="仿宋" w:eastAsia="仿宋" w:cs="仿宋"/>
          <w:sz w:val="32"/>
          <w:szCs w:val="32"/>
          <w:lang w:val="en-US" w:eastAsia="zh-CN"/>
        </w:rPr>
        <w:t>9528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9496</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%；乙脑苗应种</w:t>
      </w:r>
      <w:r>
        <w:rPr>
          <w:rFonts w:hint="eastAsia" w:ascii="仿宋" w:hAnsi="仿宋" w:eastAsia="仿宋" w:cs="仿宋"/>
          <w:sz w:val="32"/>
          <w:szCs w:val="32"/>
          <w:lang w:val="en-US" w:eastAsia="zh-CN"/>
        </w:rPr>
        <w:t>9528</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9496</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66</w:t>
      </w:r>
      <w:r>
        <w:rPr>
          <w:rFonts w:hint="eastAsia" w:ascii="仿宋" w:hAnsi="仿宋" w:eastAsia="仿宋" w:cs="仿宋"/>
          <w:sz w:val="32"/>
          <w:szCs w:val="32"/>
          <w:lang w:eastAsia="zh-CN"/>
        </w:rPr>
        <w:t>%；甲肝苗应种</w:t>
      </w:r>
      <w:r>
        <w:rPr>
          <w:rFonts w:hint="eastAsia" w:ascii="仿宋" w:hAnsi="仿宋" w:eastAsia="仿宋" w:cs="仿宋"/>
          <w:sz w:val="32"/>
          <w:szCs w:val="32"/>
          <w:lang w:val="en-US" w:eastAsia="zh-CN"/>
        </w:rPr>
        <w:t>4864</w:t>
      </w:r>
      <w:r>
        <w:rPr>
          <w:rFonts w:hint="eastAsia" w:ascii="仿宋" w:hAnsi="仿宋" w:eastAsia="仿宋" w:cs="仿宋"/>
          <w:sz w:val="32"/>
          <w:szCs w:val="32"/>
          <w:lang w:eastAsia="zh-CN"/>
        </w:rPr>
        <w:t>，实种</w:t>
      </w:r>
      <w:r>
        <w:rPr>
          <w:rFonts w:hint="eastAsia" w:ascii="仿宋" w:hAnsi="仿宋" w:eastAsia="仿宋" w:cs="仿宋"/>
          <w:sz w:val="32"/>
          <w:szCs w:val="32"/>
          <w:lang w:val="en-US" w:eastAsia="zh-CN"/>
        </w:rPr>
        <w:t>4847</w:t>
      </w:r>
      <w:r>
        <w:rPr>
          <w:rFonts w:hint="eastAsia" w:ascii="仿宋" w:hAnsi="仿宋" w:eastAsia="仿宋" w:cs="仿宋"/>
          <w:sz w:val="32"/>
          <w:szCs w:val="32"/>
          <w:lang w:eastAsia="zh-CN"/>
        </w:rPr>
        <w:t>，接种率99.</w:t>
      </w:r>
      <w:r>
        <w:rPr>
          <w:rFonts w:hint="eastAsia" w:ascii="仿宋" w:hAnsi="仿宋" w:eastAsia="仿宋" w:cs="仿宋"/>
          <w:sz w:val="32"/>
          <w:szCs w:val="32"/>
          <w:lang w:val="en-US" w:eastAsia="zh-CN"/>
        </w:rPr>
        <w:t>65</w:t>
      </w:r>
      <w:r>
        <w:rPr>
          <w:rFonts w:hint="eastAsia" w:ascii="仿宋" w:hAnsi="仿宋" w:eastAsia="仿宋" w:cs="仿宋"/>
          <w:sz w:val="32"/>
          <w:szCs w:val="32"/>
          <w:lang w:eastAsia="zh-CN"/>
        </w:rPr>
        <w:t>%。</w:t>
      </w:r>
      <w:r>
        <w:rPr>
          <w:rFonts w:hint="eastAsia" w:ascii="仿宋" w:hAnsi="仿宋" w:eastAsia="仿宋" w:cs="仿宋"/>
          <w:b w:val="0"/>
          <w:bCs w:val="0"/>
          <w:sz w:val="32"/>
          <w:szCs w:val="32"/>
        </w:rPr>
        <w:t>流动儿童和计划外生育儿童的管理</w:t>
      </w:r>
      <w:r>
        <w:rPr>
          <w:rFonts w:hint="eastAsia" w:ascii="仿宋" w:hAnsi="仿宋" w:eastAsia="仿宋" w:cs="仿宋"/>
          <w:b w:val="0"/>
          <w:bCs w:val="0"/>
          <w:sz w:val="32"/>
          <w:szCs w:val="32"/>
          <w:lang w:eastAsia="zh-CN"/>
        </w:rPr>
        <w:t>：</w:t>
      </w:r>
      <w:r>
        <w:rPr>
          <w:rFonts w:hint="eastAsia" w:ascii="仿宋" w:hAnsi="仿宋" w:eastAsia="仿宋" w:cs="仿宋"/>
          <w:sz w:val="32"/>
          <w:szCs w:val="32"/>
        </w:rPr>
        <w:t>在稳步提高常住儿童常规免疫接种率的同时，我们积极争取县政府支持，要求各乡镇防保站定期组织人员和各部门配合对流动人口聚居地进行流动人口儿童的调查摸底登记，及时建卡、建证，消除“免疫空白”人群。由于我县属农业区，工业欠发达，大部分年轻夫妇移居城市打工生活，造成了接种适龄儿童的空白。</w:t>
      </w:r>
      <w:r>
        <w:rPr>
          <w:rFonts w:hint="eastAsia" w:ascii="仿宋" w:hAnsi="仿宋" w:eastAsia="仿宋" w:cs="仿宋"/>
          <w:sz w:val="32"/>
          <w:szCs w:val="32"/>
          <w:lang w:val="en-US" w:eastAsia="zh-CN"/>
        </w:rPr>
        <w:t>在4.25</w:t>
      </w:r>
      <w:r>
        <w:rPr>
          <w:rFonts w:hint="eastAsia" w:ascii="仿宋" w:hAnsi="仿宋" w:eastAsia="仿宋" w:cs="仿宋"/>
          <w:sz w:val="32"/>
          <w:szCs w:val="32"/>
          <w:lang w:eastAsia="zh-CN"/>
        </w:rPr>
        <w:t>免疫规划宣传周共悬挂</w:t>
      </w:r>
      <w:r>
        <w:rPr>
          <w:rFonts w:hint="eastAsia" w:ascii="仿宋" w:hAnsi="仿宋" w:eastAsia="仿宋" w:cs="仿宋"/>
          <w:sz w:val="32"/>
          <w:szCs w:val="32"/>
        </w:rPr>
        <w:t>“4.25”宣传主题“</w:t>
      </w:r>
      <w:r>
        <w:rPr>
          <w:rFonts w:hint="eastAsia" w:ascii="仿宋" w:hAnsi="仿宋" w:eastAsia="仿宋" w:cs="仿宋"/>
          <w:sz w:val="32"/>
          <w:szCs w:val="32"/>
          <w:lang w:eastAsia="zh-CN"/>
        </w:rPr>
        <w:t>及时接种疫苗，共筑健康屏障</w:t>
      </w:r>
      <w:r>
        <w:rPr>
          <w:rFonts w:hint="eastAsia" w:ascii="仿宋" w:hAnsi="仿宋" w:eastAsia="仿宋" w:cs="仿宋"/>
          <w:sz w:val="32"/>
          <w:szCs w:val="32"/>
        </w:rPr>
        <w:t>”的大型横幅</w:t>
      </w:r>
      <w:r>
        <w:rPr>
          <w:rFonts w:hint="eastAsia" w:ascii="仿宋" w:hAnsi="仿宋" w:eastAsia="仿宋" w:cs="仿宋"/>
          <w:sz w:val="32"/>
          <w:szCs w:val="32"/>
          <w:lang w:val="en-US" w:eastAsia="zh-CN"/>
        </w:rPr>
        <w:t>1条，在县城绿洲广场设置固定宣传台1各</w:t>
      </w:r>
      <w:r>
        <w:rPr>
          <w:rFonts w:hint="eastAsia" w:ascii="仿宋" w:hAnsi="仿宋" w:eastAsia="仿宋" w:cs="仿宋"/>
          <w:sz w:val="32"/>
          <w:szCs w:val="32"/>
        </w:rPr>
        <w:t>发放宣传单</w:t>
      </w:r>
      <w:r>
        <w:rPr>
          <w:rFonts w:hint="eastAsia" w:ascii="仿宋" w:hAnsi="仿宋" w:eastAsia="仿宋" w:cs="仿宋"/>
          <w:sz w:val="32"/>
          <w:szCs w:val="32"/>
          <w:lang w:val="en-US" w:eastAsia="zh-CN"/>
        </w:rPr>
        <w:t>8</w:t>
      </w:r>
      <w:r>
        <w:rPr>
          <w:rFonts w:hint="eastAsia" w:ascii="仿宋" w:hAnsi="仿宋" w:eastAsia="仿宋" w:cs="仿宋"/>
          <w:sz w:val="32"/>
          <w:szCs w:val="32"/>
        </w:rPr>
        <w:t>00余张，宣传画</w:t>
      </w:r>
      <w:r>
        <w:rPr>
          <w:rFonts w:hint="eastAsia" w:ascii="仿宋" w:hAnsi="仿宋" w:eastAsia="仿宋" w:cs="仿宋"/>
          <w:sz w:val="32"/>
          <w:szCs w:val="32"/>
          <w:lang w:val="en-US" w:eastAsia="zh-CN"/>
        </w:rPr>
        <w:t>30</w:t>
      </w:r>
      <w:r>
        <w:rPr>
          <w:rFonts w:hint="eastAsia" w:ascii="仿宋" w:hAnsi="仿宋" w:eastAsia="仿宋" w:cs="仿宋"/>
          <w:sz w:val="32"/>
          <w:szCs w:val="32"/>
        </w:rPr>
        <w:t>0余幅，接询300余</w:t>
      </w:r>
      <w:r>
        <w:rPr>
          <w:rFonts w:hint="eastAsia" w:ascii="仿宋" w:hAnsi="仿宋" w:eastAsia="仿宋" w:cs="仿宋"/>
          <w:sz w:val="32"/>
          <w:szCs w:val="32"/>
          <w:lang w:eastAsia="zh-CN"/>
        </w:rPr>
        <w:t>份</w:t>
      </w:r>
      <w:r>
        <w:rPr>
          <w:rFonts w:hint="eastAsia" w:ascii="仿宋" w:hAnsi="仿宋" w:eastAsia="仿宋" w:cs="仿宋"/>
          <w:sz w:val="32"/>
          <w:szCs w:val="32"/>
        </w:rPr>
        <w:t>。摆放5块免疫规划宣传牌</w:t>
      </w:r>
      <w:r>
        <w:rPr>
          <w:rFonts w:hint="eastAsia" w:ascii="仿宋" w:hAnsi="仿宋" w:eastAsia="仿宋" w:cs="仿宋"/>
          <w:sz w:val="32"/>
          <w:szCs w:val="32"/>
          <w:lang w:eastAsia="zh-CN"/>
        </w:rPr>
        <w:t>，</w:t>
      </w:r>
      <w:r>
        <w:rPr>
          <w:rFonts w:hint="eastAsia" w:ascii="仿宋" w:hAnsi="仿宋" w:eastAsia="仿宋" w:cs="仿宋"/>
          <w:sz w:val="32"/>
          <w:szCs w:val="32"/>
        </w:rPr>
        <w:t>出免疫规划宣传栏专刊一期</w:t>
      </w:r>
      <w:r>
        <w:rPr>
          <w:rFonts w:hint="eastAsia" w:ascii="仿宋" w:hAnsi="仿宋" w:eastAsia="仿宋" w:cs="仿宋"/>
          <w:sz w:val="32"/>
          <w:szCs w:val="32"/>
          <w:lang w:eastAsia="zh-CN"/>
        </w:rPr>
        <w:t>，</w:t>
      </w:r>
      <w:r>
        <w:rPr>
          <w:rFonts w:hint="eastAsia" w:ascii="仿宋" w:hAnsi="仿宋" w:eastAsia="仿宋" w:cs="仿宋"/>
          <w:sz w:val="32"/>
          <w:szCs w:val="32"/>
        </w:rPr>
        <w:t>县电视台播放专题宣传活动一周。</w:t>
      </w:r>
    </w:p>
    <w:p>
      <w:pPr>
        <w:ind w:firstLine="640" w:firstLineChars="200"/>
        <w:rPr>
          <w:rFonts w:hint="eastAsia" w:ascii="仿宋" w:hAnsi="仿宋" w:eastAsia="仿宋" w:cs="仿宋"/>
          <w:sz w:val="32"/>
          <w:szCs w:val="32"/>
        </w:rPr>
      </w:pPr>
      <w:r>
        <w:rPr>
          <w:rFonts w:hint="eastAsia" w:ascii="仿宋" w:hAnsi="仿宋" w:eastAsia="仿宋" w:cs="仿宋"/>
          <w:bCs/>
          <w:sz w:val="32"/>
          <w:szCs w:val="32"/>
        </w:rPr>
        <w:t>艾滋病防治项目工作</w:t>
      </w:r>
      <w:r>
        <w:rPr>
          <w:rFonts w:hint="eastAsia" w:ascii="仿宋" w:hAnsi="仿宋" w:eastAsia="仿宋" w:cs="仿宋"/>
          <w:bCs/>
          <w:sz w:val="32"/>
          <w:szCs w:val="32"/>
          <w:lang w:eastAsia="zh-CN"/>
        </w:rPr>
        <w:t>：</w:t>
      </w:r>
      <w:r>
        <w:rPr>
          <w:rFonts w:hint="eastAsia" w:ascii="仿宋" w:hAnsi="仿宋" w:eastAsia="仿宋" w:cs="仿宋"/>
          <w:b w:val="0"/>
          <w:bCs w:val="0"/>
          <w:sz w:val="32"/>
          <w:szCs w:val="32"/>
          <w:lang w:eastAsia="zh-CN"/>
        </w:rPr>
        <w:t>不断提高</w:t>
      </w:r>
      <w:r>
        <w:rPr>
          <w:rFonts w:hint="eastAsia" w:ascii="仿宋" w:hAnsi="仿宋" w:eastAsia="仿宋" w:cs="仿宋"/>
          <w:b w:val="0"/>
          <w:bCs w:val="0"/>
          <w:sz w:val="32"/>
          <w:szCs w:val="32"/>
        </w:rPr>
        <w:t>性病</w:t>
      </w:r>
      <w:r>
        <w:rPr>
          <w:rFonts w:hint="eastAsia" w:ascii="仿宋" w:hAnsi="仿宋" w:eastAsia="仿宋" w:cs="仿宋"/>
          <w:b w:val="0"/>
          <w:bCs w:val="0"/>
          <w:sz w:val="32"/>
          <w:szCs w:val="32"/>
          <w:lang w:eastAsia="zh-CN"/>
        </w:rPr>
        <w:t>艾滋病</w:t>
      </w:r>
      <w:r>
        <w:rPr>
          <w:rFonts w:hint="eastAsia" w:ascii="仿宋" w:hAnsi="仿宋" w:eastAsia="仿宋" w:cs="仿宋"/>
          <w:b w:val="0"/>
          <w:bCs w:val="0"/>
          <w:sz w:val="32"/>
          <w:szCs w:val="32"/>
        </w:rPr>
        <w:t>防治的专业技术</w:t>
      </w:r>
      <w:r>
        <w:rPr>
          <w:rFonts w:hint="eastAsia" w:ascii="仿宋" w:hAnsi="仿宋" w:eastAsia="仿宋" w:cs="仿宋"/>
          <w:b w:val="0"/>
          <w:bCs w:val="0"/>
          <w:sz w:val="32"/>
          <w:szCs w:val="32"/>
          <w:lang w:val="en-US" w:eastAsia="zh-CN"/>
        </w:rPr>
        <w:t>和管理</w:t>
      </w:r>
      <w:r>
        <w:rPr>
          <w:rFonts w:hint="eastAsia" w:ascii="仿宋" w:hAnsi="仿宋" w:eastAsia="仿宋" w:cs="仿宋"/>
          <w:b w:val="0"/>
          <w:bCs w:val="0"/>
          <w:sz w:val="32"/>
          <w:szCs w:val="32"/>
        </w:rPr>
        <w:t>水平</w:t>
      </w:r>
      <w:r>
        <w:rPr>
          <w:rFonts w:hint="eastAsia" w:ascii="仿宋" w:hAnsi="仿宋" w:eastAsia="仿宋" w:cs="仿宋"/>
          <w:b w:val="0"/>
          <w:bCs w:val="0"/>
          <w:sz w:val="32"/>
          <w:szCs w:val="32"/>
          <w:lang w:eastAsia="zh-CN"/>
        </w:rPr>
        <w:t>，</w:t>
      </w:r>
      <w:r>
        <w:rPr>
          <w:rFonts w:hint="eastAsia" w:ascii="仿宋" w:hAnsi="仿宋" w:eastAsia="仿宋" w:cs="仿宋"/>
          <w:sz w:val="32"/>
          <w:szCs w:val="32"/>
          <w:lang w:eastAsia="zh-CN"/>
        </w:rPr>
        <w:t>定期</w:t>
      </w:r>
      <w:r>
        <w:rPr>
          <w:rFonts w:hint="eastAsia" w:ascii="仿宋" w:hAnsi="仿宋" w:eastAsia="仿宋" w:cs="仿宋"/>
          <w:sz w:val="32"/>
          <w:szCs w:val="32"/>
        </w:rPr>
        <w:t>选派专业技术人员到省、市参加各类性病艾滋病防治培训班。</w:t>
      </w:r>
      <w:r>
        <w:rPr>
          <w:rFonts w:hint="eastAsia" w:ascii="仿宋" w:hAnsi="仿宋" w:eastAsia="仿宋" w:cs="仿宋"/>
          <w:sz w:val="30"/>
          <w:szCs w:val="30"/>
        </w:rPr>
        <w:t>截止202</w:t>
      </w:r>
      <w:r>
        <w:rPr>
          <w:rFonts w:hint="eastAsia" w:ascii="仿宋" w:hAnsi="仿宋" w:eastAsia="仿宋" w:cs="仿宋"/>
          <w:sz w:val="30"/>
          <w:szCs w:val="30"/>
          <w:lang w:val="en-US" w:eastAsia="zh-CN"/>
        </w:rPr>
        <w:t>1</w:t>
      </w:r>
      <w:r>
        <w:rPr>
          <w:rFonts w:hint="eastAsia" w:ascii="仿宋" w:hAnsi="仿宋" w:eastAsia="仿宋" w:cs="仿宋"/>
          <w:sz w:val="30"/>
          <w:szCs w:val="30"/>
        </w:rPr>
        <w:t>年1</w:t>
      </w:r>
      <w:r>
        <w:rPr>
          <w:rFonts w:hint="eastAsia" w:ascii="仿宋" w:hAnsi="仿宋" w:eastAsia="仿宋" w:cs="仿宋"/>
          <w:sz w:val="30"/>
          <w:szCs w:val="30"/>
          <w:lang w:val="en-US" w:eastAsia="zh-CN"/>
        </w:rPr>
        <w:t>1</w:t>
      </w:r>
      <w:r>
        <w:rPr>
          <w:rFonts w:hint="eastAsia" w:ascii="仿宋" w:hAnsi="仿宋" w:eastAsia="仿宋" w:cs="仿宋"/>
          <w:sz w:val="30"/>
          <w:szCs w:val="30"/>
        </w:rPr>
        <w:t>月底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按户籍管理：存活病人176</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死亡病人56例；按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管理：存活病人112</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死亡病人48例；按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w:t>
      </w:r>
      <w:r>
        <w:rPr>
          <w:rFonts w:hint="eastAsia" w:ascii="仿宋" w:hAnsi="仿宋" w:eastAsia="仿宋" w:cs="仿宋"/>
          <w:sz w:val="30"/>
          <w:szCs w:val="30"/>
        </w:rPr>
        <w:t>202</w:t>
      </w:r>
      <w:r>
        <w:rPr>
          <w:rFonts w:hint="eastAsia" w:ascii="仿宋" w:hAnsi="仿宋" w:eastAsia="仿宋" w:cs="仿宋"/>
          <w:sz w:val="30"/>
          <w:szCs w:val="30"/>
          <w:lang w:val="en-US" w:eastAsia="zh-CN"/>
        </w:rPr>
        <w:t>1</w:t>
      </w:r>
      <w:r>
        <w:rPr>
          <w:rFonts w:hint="eastAsia" w:ascii="仿宋" w:hAnsi="仿宋" w:eastAsia="仿宋" w:cs="仿宋"/>
          <w:sz w:val="30"/>
          <w:szCs w:val="30"/>
        </w:rPr>
        <w:t>年新发病例</w:t>
      </w:r>
      <w:r>
        <w:rPr>
          <w:rFonts w:hint="eastAsia" w:ascii="仿宋" w:hAnsi="仿宋" w:eastAsia="仿宋" w:cs="仿宋"/>
          <w:sz w:val="30"/>
          <w:szCs w:val="30"/>
          <w:lang w:val="en-US" w:eastAsia="zh-CN"/>
        </w:rPr>
        <w:t>14</w:t>
      </w:r>
      <w:r>
        <w:rPr>
          <w:rFonts w:hint="eastAsia" w:ascii="仿宋" w:hAnsi="仿宋" w:eastAsia="仿宋" w:cs="仿宋"/>
          <w:sz w:val="30"/>
          <w:szCs w:val="30"/>
        </w:rPr>
        <w:t>例,</w:t>
      </w:r>
      <w:r>
        <w:rPr>
          <w:rFonts w:hint="eastAsia" w:ascii="仿宋" w:hAnsi="仿宋" w:eastAsia="仿宋" w:cs="仿宋"/>
          <w:sz w:val="30"/>
          <w:szCs w:val="30"/>
          <w:lang w:val="en-US" w:eastAsia="zh-CN"/>
        </w:rPr>
        <w:t>其中</w:t>
      </w:r>
      <w:r>
        <w:rPr>
          <w:rFonts w:hint="eastAsia" w:ascii="仿宋" w:hAnsi="仿宋" w:eastAsia="仿宋" w:cs="仿宋"/>
          <w:sz w:val="30"/>
          <w:szCs w:val="30"/>
        </w:rPr>
        <w:t>存活1</w:t>
      </w:r>
      <w:r>
        <w:rPr>
          <w:rFonts w:hint="eastAsia" w:ascii="仿宋" w:hAnsi="仿宋" w:eastAsia="仿宋" w:cs="仿宋"/>
          <w:sz w:val="30"/>
          <w:szCs w:val="30"/>
          <w:lang w:val="en-US" w:eastAsia="zh-CN"/>
        </w:rPr>
        <w:t>3</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rPr>
        <w:t>死亡</w:t>
      </w:r>
      <w:r>
        <w:rPr>
          <w:rFonts w:hint="eastAsia" w:ascii="仿宋" w:hAnsi="仿宋" w:eastAsia="仿宋" w:cs="仿宋"/>
          <w:sz w:val="30"/>
          <w:szCs w:val="30"/>
          <w:lang w:val="en-US" w:eastAsia="zh-CN"/>
        </w:rPr>
        <w:t>1</w:t>
      </w:r>
      <w:r>
        <w:rPr>
          <w:rFonts w:hint="eastAsia" w:ascii="仿宋" w:hAnsi="仿宋" w:eastAsia="仿宋" w:cs="仿宋"/>
          <w:sz w:val="30"/>
          <w:szCs w:val="30"/>
        </w:rPr>
        <w:t>例</w:t>
      </w:r>
      <w:r>
        <w:rPr>
          <w:rFonts w:hint="eastAsia" w:ascii="仿宋" w:hAnsi="仿宋" w:eastAsia="仿宋" w:cs="仿宋"/>
          <w:sz w:val="30"/>
          <w:szCs w:val="30"/>
          <w:lang w:eastAsia="zh-CN"/>
        </w:rPr>
        <w:t>；</w:t>
      </w:r>
      <w:r>
        <w:rPr>
          <w:rFonts w:hint="eastAsia" w:ascii="仿宋" w:hAnsi="仿宋" w:eastAsia="仿宋" w:cs="仿宋"/>
          <w:sz w:val="30"/>
          <w:szCs w:val="30"/>
        </w:rPr>
        <w:t>病例覆盖全县17个乡镇，</w:t>
      </w:r>
      <w:r>
        <w:rPr>
          <w:rFonts w:hint="eastAsia" w:ascii="仿宋" w:hAnsi="仿宋" w:eastAsia="仿宋" w:cs="仿宋"/>
          <w:sz w:val="30"/>
          <w:szCs w:val="30"/>
          <w:lang w:val="en-US" w:eastAsia="zh-CN"/>
        </w:rPr>
        <w:t>按</w:t>
      </w:r>
      <w:r>
        <w:rPr>
          <w:rFonts w:hint="eastAsia" w:ascii="仿宋" w:hAnsi="仿宋" w:eastAsia="仿宋" w:cs="仿宋"/>
          <w:sz w:val="30"/>
          <w:szCs w:val="30"/>
        </w:rPr>
        <w:t>现住址</w:t>
      </w:r>
      <w:r>
        <w:rPr>
          <w:rFonts w:hint="eastAsia" w:ascii="仿宋" w:hAnsi="仿宋" w:eastAsia="仿宋" w:cs="仿宋"/>
          <w:sz w:val="30"/>
          <w:szCs w:val="30"/>
          <w:lang w:val="en-US" w:eastAsia="zh-CN"/>
        </w:rPr>
        <w:t>管理</w:t>
      </w:r>
      <w:r>
        <w:rPr>
          <w:rFonts w:hint="eastAsia" w:ascii="仿宋" w:hAnsi="仿宋" w:eastAsia="仿宋" w:cs="仿宋"/>
          <w:sz w:val="30"/>
          <w:szCs w:val="30"/>
        </w:rPr>
        <w:t>目前累计接受抗病毒治疗</w:t>
      </w:r>
      <w:r>
        <w:rPr>
          <w:rFonts w:hint="eastAsia" w:ascii="仿宋" w:hAnsi="仿宋" w:eastAsia="仿宋" w:cs="仿宋"/>
          <w:sz w:val="30"/>
          <w:szCs w:val="30"/>
          <w:lang w:val="en-US" w:eastAsia="zh-CN"/>
        </w:rPr>
        <w:t>的</w:t>
      </w:r>
      <w:r>
        <w:rPr>
          <w:rFonts w:hint="eastAsia" w:ascii="仿宋" w:hAnsi="仿宋" w:eastAsia="仿宋" w:cs="仿宋"/>
          <w:sz w:val="30"/>
          <w:szCs w:val="30"/>
        </w:rPr>
        <w:t>存活</w:t>
      </w:r>
      <w:r>
        <w:rPr>
          <w:rFonts w:hint="eastAsia" w:ascii="仿宋" w:hAnsi="仿宋" w:eastAsia="仿宋" w:cs="仿宋"/>
          <w:sz w:val="30"/>
          <w:szCs w:val="30"/>
          <w:lang w:val="en-US" w:eastAsia="zh-CN"/>
        </w:rPr>
        <w:t>病例109</w:t>
      </w:r>
      <w:r>
        <w:rPr>
          <w:rFonts w:hint="eastAsia" w:ascii="仿宋" w:hAnsi="仿宋" w:eastAsia="仿宋" w:cs="仿宋"/>
          <w:sz w:val="30"/>
          <w:szCs w:val="30"/>
        </w:rPr>
        <w:t>人</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共112例存活病人其中在外地治疗5例，本县治疗104例，另外3例尚未治疗，治疗率97.3</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，其中202</w:t>
      </w:r>
      <w:r>
        <w:rPr>
          <w:rFonts w:hint="eastAsia" w:ascii="仿宋" w:hAnsi="仿宋" w:eastAsia="仿宋" w:cs="仿宋"/>
          <w:sz w:val="30"/>
          <w:szCs w:val="30"/>
          <w:lang w:val="en-US" w:eastAsia="zh-CN"/>
        </w:rPr>
        <w:t>1</w:t>
      </w:r>
      <w:r>
        <w:rPr>
          <w:rFonts w:hint="eastAsia" w:ascii="仿宋" w:hAnsi="仿宋" w:eastAsia="仿宋" w:cs="仿宋"/>
          <w:sz w:val="30"/>
          <w:szCs w:val="30"/>
        </w:rPr>
        <w:t>年新增抗病毒治疗存活</w:t>
      </w:r>
      <w:r>
        <w:rPr>
          <w:rFonts w:hint="eastAsia" w:ascii="仿宋" w:hAnsi="仿宋" w:eastAsia="仿宋" w:cs="仿宋"/>
          <w:sz w:val="30"/>
          <w:szCs w:val="30"/>
          <w:lang w:val="en-US" w:eastAsia="zh-CN"/>
        </w:rPr>
        <w:t>病例</w:t>
      </w:r>
      <w:r>
        <w:rPr>
          <w:rFonts w:hint="eastAsia" w:ascii="仿宋" w:hAnsi="仿宋" w:eastAsia="仿宋" w:cs="仿宋"/>
          <w:sz w:val="30"/>
          <w:szCs w:val="30"/>
        </w:rPr>
        <w:t>1</w:t>
      </w:r>
      <w:r>
        <w:rPr>
          <w:rFonts w:hint="eastAsia" w:ascii="仿宋" w:hAnsi="仿宋" w:eastAsia="仿宋" w:cs="仿宋"/>
          <w:sz w:val="30"/>
          <w:szCs w:val="30"/>
          <w:lang w:val="en-US" w:eastAsia="zh-CN"/>
        </w:rPr>
        <w:t>4</w:t>
      </w:r>
      <w:r>
        <w:rPr>
          <w:rFonts w:hint="eastAsia" w:ascii="仿宋" w:hAnsi="仿宋" w:eastAsia="仿宋" w:cs="仿宋"/>
          <w:sz w:val="30"/>
          <w:szCs w:val="30"/>
        </w:rPr>
        <w:t>人（</w:t>
      </w:r>
      <w:r>
        <w:rPr>
          <w:rFonts w:hint="eastAsia" w:ascii="仿宋" w:hAnsi="仿宋" w:eastAsia="仿宋" w:cs="仿宋"/>
          <w:sz w:val="30"/>
          <w:szCs w:val="30"/>
          <w:lang w:val="en-US" w:eastAsia="zh-CN"/>
        </w:rPr>
        <w:t>包括2021年转入治疗病人</w:t>
      </w:r>
      <w:r>
        <w:rPr>
          <w:rFonts w:hint="eastAsia" w:ascii="仿宋" w:hAnsi="仿宋" w:eastAsia="仿宋" w:cs="仿宋"/>
          <w:sz w:val="30"/>
          <w:szCs w:val="30"/>
        </w:rPr>
        <w:t>）。</w:t>
      </w:r>
      <w:r>
        <w:rPr>
          <w:rFonts w:hint="eastAsia" w:ascii="仿宋" w:hAnsi="仿宋" w:eastAsia="仿宋" w:cs="仿宋"/>
          <w:color w:val="000000"/>
          <w:kern w:val="0"/>
          <w:sz w:val="30"/>
          <w:szCs w:val="30"/>
          <w:shd w:val="clear" w:color="auto" w:fill="FFFFFF"/>
        </w:rPr>
        <w:t>12月1日是第3</w:t>
      </w:r>
      <w:r>
        <w:rPr>
          <w:rFonts w:hint="eastAsia" w:ascii="仿宋" w:hAnsi="仿宋" w:eastAsia="仿宋" w:cs="仿宋"/>
          <w:color w:val="000000"/>
          <w:kern w:val="0"/>
          <w:sz w:val="30"/>
          <w:szCs w:val="30"/>
          <w:shd w:val="clear" w:color="auto" w:fill="FFFFFF"/>
          <w:lang w:val="en-US" w:eastAsia="zh-CN"/>
        </w:rPr>
        <w:t>4</w:t>
      </w:r>
      <w:r>
        <w:rPr>
          <w:rFonts w:hint="eastAsia" w:ascii="仿宋" w:hAnsi="仿宋" w:eastAsia="仿宋" w:cs="仿宋"/>
          <w:color w:val="000000"/>
          <w:kern w:val="0"/>
          <w:sz w:val="30"/>
          <w:szCs w:val="30"/>
          <w:shd w:val="clear" w:color="auto" w:fill="FFFFFF"/>
        </w:rPr>
        <w:t>个“世界艾滋病日”</w:t>
      </w:r>
      <w:r>
        <w:rPr>
          <w:rFonts w:hint="eastAsia" w:ascii="仿宋" w:hAnsi="仿宋" w:eastAsia="仿宋" w:cs="仿宋"/>
          <w:sz w:val="30"/>
          <w:szCs w:val="30"/>
        </w:rPr>
        <w:t>，</w:t>
      </w:r>
      <w:r>
        <w:rPr>
          <w:rFonts w:hint="eastAsia" w:ascii="仿宋" w:hAnsi="仿宋" w:eastAsia="仿宋" w:cs="仿宋"/>
          <w:sz w:val="30"/>
          <w:szCs w:val="30"/>
          <w:lang w:val="en-US" w:eastAsia="zh-CN"/>
        </w:rPr>
        <w:t>根据2021年</w:t>
      </w:r>
      <w:r>
        <w:rPr>
          <w:rFonts w:hint="eastAsia" w:ascii="仿宋" w:hAnsi="仿宋" w:eastAsia="仿宋" w:cs="仿宋"/>
          <w:sz w:val="30"/>
          <w:szCs w:val="30"/>
        </w:rPr>
        <w:t>我县</w:t>
      </w:r>
      <w:r>
        <w:rPr>
          <w:rFonts w:hint="eastAsia" w:ascii="仿宋" w:hAnsi="仿宋" w:eastAsia="仿宋" w:cs="仿宋"/>
          <w:sz w:val="30"/>
          <w:szCs w:val="30"/>
          <w:lang w:val="en-US" w:eastAsia="zh-CN"/>
        </w:rPr>
        <w:t>艾滋病宣传工作方案，我</w:t>
      </w:r>
      <w:r>
        <w:rPr>
          <w:rFonts w:hint="eastAsia" w:ascii="仿宋" w:hAnsi="仿宋" w:eastAsia="仿宋" w:cs="仿宋"/>
          <w:sz w:val="30"/>
          <w:szCs w:val="30"/>
        </w:rPr>
        <w:t>中心</w:t>
      </w:r>
      <w:r>
        <w:rPr>
          <w:rFonts w:hint="eastAsia" w:ascii="仿宋" w:hAnsi="仿宋" w:eastAsia="仿宋" w:cs="仿宋"/>
          <w:sz w:val="30"/>
          <w:szCs w:val="30"/>
          <w:lang w:val="en-US" w:eastAsia="zh-CN"/>
        </w:rPr>
        <w:t>将</w:t>
      </w:r>
      <w:r>
        <w:rPr>
          <w:rFonts w:hint="eastAsia" w:ascii="仿宋" w:hAnsi="仿宋" w:eastAsia="仿宋" w:cs="仿宋"/>
          <w:sz w:val="30"/>
          <w:szCs w:val="30"/>
        </w:rPr>
        <w:t>结合团县委、</w:t>
      </w:r>
      <w:r>
        <w:rPr>
          <w:rFonts w:hint="eastAsia" w:ascii="仿宋" w:hAnsi="仿宋" w:eastAsia="仿宋" w:cs="仿宋"/>
          <w:sz w:val="30"/>
          <w:szCs w:val="30"/>
          <w:lang w:val="en-US" w:eastAsia="zh-CN"/>
        </w:rPr>
        <w:t>县妇计中心、</w:t>
      </w:r>
      <w:r>
        <w:rPr>
          <w:rFonts w:hint="eastAsia" w:ascii="仿宋" w:hAnsi="仿宋" w:eastAsia="仿宋" w:cs="仿宋"/>
          <w:sz w:val="30"/>
          <w:szCs w:val="30"/>
        </w:rPr>
        <w:t>县</w:t>
      </w:r>
      <w:r>
        <w:rPr>
          <w:rFonts w:hint="eastAsia" w:ascii="仿宋" w:hAnsi="仿宋" w:eastAsia="仿宋" w:cs="仿宋"/>
          <w:sz w:val="30"/>
          <w:szCs w:val="30"/>
          <w:lang w:val="en-US" w:eastAsia="zh-CN"/>
        </w:rPr>
        <w:t>禁毒委员会等单位联合</w:t>
      </w:r>
      <w:r>
        <w:rPr>
          <w:rFonts w:hint="eastAsia" w:ascii="仿宋" w:hAnsi="仿宋" w:eastAsia="仿宋" w:cs="仿宋"/>
          <w:sz w:val="30"/>
          <w:szCs w:val="30"/>
        </w:rPr>
        <w:t>开展</w:t>
      </w:r>
      <w:r>
        <w:rPr>
          <w:rFonts w:hint="eastAsia" w:ascii="仿宋" w:hAnsi="仿宋" w:eastAsia="仿宋" w:cs="仿宋"/>
          <w:sz w:val="32"/>
          <w:szCs w:val="32"/>
        </w:rPr>
        <w:t>“</w:t>
      </w:r>
      <w:r>
        <w:rPr>
          <w:rFonts w:hint="eastAsia" w:ascii="仿宋" w:hAnsi="仿宋" w:eastAsia="仿宋" w:cs="仿宋"/>
          <w:sz w:val="30"/>
          <w:szCs w:val="30"/>
        </w:rPr>
        <w:t>生命至上 终结艾滋 健康平等”</w:t>
      </w:r>
      <w:r>
        <w:rPr>
          <w:rFonts w:hint="eastAsia" w:ascii="仿宋" w:hAnsi="仿宋" w:eastAsia="仿宋" w:cs="仿宋"/>
          <w:sz w:val="30"/>
          <w:szCs w:val="30"/>
          <w:lang w:val="en-US" w:eastAsia="zh-CN"/>
        </w:rPr>
        <w:t>为</w:t>
      </w:r>
      <w:r>
        <w:rPr>
          <w:rFonts w:hint="eastAsia" w:ascii="仿宋" w:hAnsi="仿宋" w:eastAsia="仿宋" w:cs="仿宋"/>
          <w:sz w:val="30"/>
          <w:szCs w:val="30"/>
        </w:rPr>
        <w:t>主题</w:t>
      </w:r>
      <w:r>
        <w:rPr>
          <w:rFonts w:hint="eastAsia" w:ascii="仿宋" w:hAnsi="仿宋" w:eastAsia="仿宋" w:cs="仿宋"/>
          <w:sz w:val="30"/>
          <w:szCs w:val="30"/>
          <w:lang w:val="en-US" w:eastAsia="zh-CN"/>
        </w:rPr>
        <w:t>的大型</w:t>
      </w:r>
      <w:r>
        <w:rPr>
          <w:rFonts w:hint="eastAsia" w:ascii="仿宋" w:hAnsi="仿宋" w:eastAsia="仿宋" w:cs="仿宋"/>
          <w:sz w:val="30"/>
          <w:szCs w:val="30"/>
        </w:rPr>
        <w:t>宣传活动，</w:t>
      </w:r>
      <w:r>
        <w:rPr>
          <w:rFonts w:hint="eastAsia" w:ascii="仿宋" w:hAnsi="仿宋" w:eastAsia="仿宋" w:cs="仿宋"/>
          <w:sz w:val="30"/>
          <w:szCs w:val="30"/>
          <w:lang w:val="en-US" w:eastAsia="zh-CN"/>
        </w:rPr>
        <w:t>预计</w:t>
      </w:r>
      <w:r>
        <w:rPr>
          <w:rFonts w:hint="eastAsia" w:ascii="仿宋" w:hAnsi="仿宋" w:eastAsia="仿宋" w:cs="仿宋"/>
          <w:color w:val="1D1C1C"/>
          <w:kern w:val="0"/>
          <w:sz w:val="30"/>
          <w:szCs w:val="30"/>
        </w:rPr>
        <w:t>发放</w:t>
      </w:r>
      <w:r>
        <w:rPr>
          <w:rFonts w:hint="eastAsia" w:ascii="仿宋" w:hAnsi="仿宋" w:eastAsia="仿宋" w:cs="仿宋"/>
          <w:sz w:val="30"/>
          <w:szCs w:val="30"/>
        </w:rPr>
        <w:t>宣传单</w:t>
      </w:r>
      <w:r>
        <w:rPr>
          <w:rFonts w:hint="eastAsia" w:ascii="仿宋" w:hAnsi="仿宋" w:eastAsia="仿宋" w:cs="仿宋"/>
          <w:sz w:val="30"/>
          <w:szCs w:val="30"/>
          <w:lang w:val="en-US" w:eastAsia="zh-CN"/>
        </w:rPr>
        <w:t>20</w:t>
      </w:r>
      <w:r>
        <w:rPr>
          <w:rFonts w:hint="eastAsia" w:ascii="仿宋" w:hAnsi="仿宋" w:eastAsia="仿宋" w:cs="仿宋"/>
          <w:sz w:val="30"/>
          <w:szCs w:val="30"/>
        </w:rPr>
        <w:t>00份，</w:t>
      </w:r>
      <w:r>
        <w:rPr>
          <w:rFonts w:hint="eastAsia" w:ascii="仿宋" w:hAnsi="仿宋" w:eastAsia="仿宋" w:cs="仿宋"/>
          <w:sz w:val="30"/>
          <w:szCs w:val="30"/>
          <w:lang w:val="en-US" w:eastAsia="zh-CN"/>
        </w:rPr>
        <w:t>艾滋病综合防治知识读本1000本，防治艾滋病健康教育学生读本10</w:t>
      </w:r>
      <w:r>
        <w:rPr>
          <w:rFonts w:hint="eastAsia" w:ascii="仿宋" w:hAnsi="仿宋" w:eastAsia="仿宋" w:cs="仿宋"/>
          <w:sz w:val="30"/>
          <w:szCs w:val="30"/>
        </w:rPr>
        <w:t>00本，宣传</w:t>
      </w:r>
      <w:r>
        <w:rPr>
          <w:rFonts w:hint="eastAsia" w:ascii="仿宋" w:hAnsi="仿宋" w:eastAsia="仿宋" w:cs="仿宋"/>
          <w:sz w:val="30"/>
          <w:szCs w:val="30"/>
          <w:lang w:val="en-US" w:eastAsia="zh-CN"/>
        </w:rPr>
        <w:t>海报1</w:t>
      </w:r>
      <w:r>
        <w:rPr>
          <w:rFonts w:hint="eastAsia" w:ascii="仿宋" w:hAnsi="仿宋" w:eastAsia="仿宋" w:cs="仿宋"/>
          <w:sz w:val="30"/>
          <w:szCs w:val="30"/>
        </w:rPr>
        <w:t>00张，</w:t>
      </w:r>
      <w:r>
        <w:rPr>
          <w:rFonts w:hint="eastAsia" w:ascii="仿宋" w:hAnsi="仿宋" w:eastAsia="仿宋" w:cs="仿宋"/>
          <w:sz w:val="30"/>
          <w:szCs w:val="30"/>
          <w:lang w:val="en-US" w:eastAsia="zh-CN"/>
        </w:rPr>
        <w:t>宣传物质（包括纸杯、纸巾、手提袋、雨伞等）10050份、</w:t>
      </w:r>
      <w:r>
        <w:rPr>
          <w:rFonts w:hint="eastAsia" w:ascii="仿宋" w:hAnsi="仿宋" w:eastAsia="仿宋" w:cs="仿宋"/>
          <w:sz w:val="30"/>
          <w:szCs w:val="30"/>
        </w:rPr>
        <w:t>安全套3000只</w:t>
      </w:r>
      <w:r>
        <w:rPr>
          <w:rFonts w:hint="eastAsia" w:ascii="仿宋" w:hAnsi="仿宋" w:eastAsia="仿宋" w:cs="仿宋"/>
          <w:sz w:val="30"/>
          <w:szCs w:val="30"/>
          <w:lang w:eastAsia="zh-CN"/>
        </w:rPr>
        <w:t>。</w:t>
      </w:r>
      <w:r>
        <w:rPr>
          <w:rFonts w:hint="eastAsia" w:ascii="仿宋" w:hAnsi="仿宋" w:eastAsia="仿宋" w:cs="仿宋"/>
          <w:sz w:val="30"/>
          <w:szCs w:val="30"/>
        </w:rPr>
        <w:t>新闻报道方面，由</w:t>
      </w:r>
      <w:r>
        <w:rPr>
          <w:rFonts w:hint="eastAsia" w:ascii="仿宋" w:hAnsi="仿宋" w:eastAsia="仿宋" w:cs="仿宋"/>
          <w:color w:val="1D1C1C"/>
          <w:kern w:val="0"/>
          <w:sz w:val="30"/>
          <w:szCs w:val="30"/>
        </w:rPr>
        <w:t>县电视台在规定时间段连续播报艾滋病防治知识一星期，</w:t>
      </w:r>
      <w:r>
        <w:rPr>
          <w:rFonts w:hint="eastAsia" w:ascii="仿宋" w:hAnsi="仿宋" w:eastAsia="仿宋" w:cs="仿宋"/>
          <w:sz w:val="30"/>
          <w:szCs w:val="30"/>
          <w:lang w:val="en-US" w:eastAsia="zh-CN"/>
        </w:rPr>
        <w:t>努力</w:t>
      </w:r>
      <w:r>
        <w:rPr>
          <w:rFonts w:hint="eastAsia" w:ascii="仿宋" w:hAnsi="仿宋" w:eastAsia="仿宋" w:cs="仿宋"/>
          <w:sz w:val="30"/>
          <w:szCs w:val="30"/>
        </w:rPr>
        <w:t>提高广大人民群众对艾滋病防治知识的知晓率。</w:t>
      </w:r>
    </w:p>
    <w:p>
      <w:pPr>
        <w:pStyle w:val="2"/>
        <w:spacing w:before="0" w:after="0"/>
        <w:ind w:firstLine="643" w:firstLineChars="200"/>
        <w:jc w:val="left"/>
        <w:rPr>
          <w:rFonts w:hint="eastAsia" w:ascii="仿宋" w:hAnsi="仿宋" w:eastAsia="仿宋" w:cs="仿宋"/>
          <w:b w:val="0"/>
          <w:bCs w:val="0"/>
          <w:sz w:val="32"/>
          <w:szCs w:val="32"/>
        </w:rPr>
      </w:pPr>
      <w:r>
        <w:rPr>
          <w:rFonts w:hint="eastAsia" w:ascii="仿宋" w:hAnsi="仿宋" w:eastAsia="仿宋" w:cs="仿宋"/>
          <w:bCs/>
          <w:sz w:val="32"/>
          <w:szCs w:val="32"/>
        </w:rPr>
        <w:t>结核病防治工作</w:t>
      </w:r>
      <w:r>
        <w:rPr>
          <w:rFonts w:hint="eastAsia" w:ascii="仿宋" w:hAnsi="仿宋" w:eastAsia="仿宋" w:cs="仿宋"/>
          <w:bCs/>
          <w:sz w:val="32"/>
          <w:szCs w:val="32"/>
          <w:lang w:eastAsia="zh-CN"/>
        </w:rPr>
        <w:t>：</w:t>
      </w:r>
      <w:r>
        <w:rPr>
          <w:rFonts w:hint="eastAsia" w:ascii="仿宋" w:hAnsi="仿宋" w:eastAsia="仿宋" w:cs="仿宋"/>
          <w:b w:val="0"/>
          <w:bCs w:val="0"/>
          <w:sz w:val="32"/>
          <w:szCs w:val="32"/>
          <w:lang w:val="en-US" w:eastAsia="zh-CN"/>
        </w:rPr>
        <w:t>截止</w:t>
      </w:r>
      <w:r>
        <w:rPr>
          <w:rFonts w:hint="eastAsia" w:ascii="仿宋" w:hAnsi="仿宋" w:eastAsia="仿宋" w:cs="仿宋"/>
          <w:b w:val="0"/>
          <w:color w:val="auto"/>
        </w:rPr>
        <w:t>202</w:t>
      </w:r>
      <w:r>
        <w:rPr>
          <w:rFonts w:hint="eastAsia" w:ascii="仿宋" w:hAnsi="仿宋" w:eastAsia="仿宋" w:cs="仿宋"/>
          <w:b w:val="0"/>
          <w:color w:val="auto"/>
          <w:lang w:val="en-US" w:eastAsia="zh-CN"/>
        </w:rPr>
        <w:t>1</w:t>
      </w:r>
      <w:r>
        <w:rPr>
          <w:rFonts w:hint="eastAsia" w:ascii="仿宋" w:hAnsi="仿宋" w:eastAsia="仿宋" w:cs="仿宋"/>
          <w:b w:val="0"/>
          <w:color w:val="auto"/>
        </w:rPr>
        <w:t>年11月</w:t>
      </w:r>
      <w:r>
        <w:rPr>
          <w:rFonts w:hint="eastAsia" w:ascii="仿宋" w:hAnsi="仿宋" w:eastAsia="仿宋" w:cs="仿宋"/>
          <w:b w:val="0"/>
          <w:color w:val="auto"/>
          <w:lang w:val="en-US" w:eastAsia="zh-CN"/>
        </w:rPr>
        <w:t>30</w:t>
      </w:r>
      <w:r>
        <w:rPr>
          <w:rFonts w:hint="eastAsia" w:ascii="仿宋" w:hAnsi="仿宋" w:eastAsia="仿宋" w:cs="仿宋"/>
          <w:b w:val="0"/>
          <w:color w:val="auto"/>
        </w:rPr>
        <w:t>日网上直报</w:t>
      </w:r>
      <w:r>
        <w:rPr>
          <w:rFonts w:hint="eastAsia" w:ascii="仿宋" w:hAnsi="仿宋" w:eastAsia="仿宋" w:cs="仿宋"/>
          <w:b w:val="0"/>
          <w:color w:val="auto"/>
          <w:lang w:val="en-US" w:eastAsia="zh-CN"/>
        </w:rPr>
        <w:t>99</w:t>
      </w:r>
      <w:r>
        <w:rPr>
          <w:rFonts w:hint="eastAsia" w:ascii="仿宋" w:hAnsi="仿宋" w:eastAsia="仿宋" w:cs="仿宋"/>
          <w:b w:val="0"/>
          <w:color w:val="auto"/>
        </w:rPr>
        <w:t>例，剔除重报</w:t>
      </w:r>
      <w:r>
        <w:rPr>
          <w:rFonts w:hint="eastAsia" w:ascii="仿宋" w:hAnsi="仿宋" w:eastAsia="仿宋" w:cs="仿宋"/>
          <w:b w:val="0"/>
          <w:color w:val="auto"/>
          <w:lang w:val="en-US" w:eastAsia="zh-CN"/>
        </w:rPr>
        <w:t>2</w:t>
      </w:r>
      <w:r>
        <w:rPr>
          <w:rFonts w:hint="eastAsia" w:ascii="仿宋" w:hAnsi="仿宋" w:eastAsia="仿宋" w:cs="仿宋"/>
          <w:b w:val="0"/>
          <w:color w:val="auto"/>
        </w:rPr>
        <w:t>例，有效网报</w:t>
      </w:r>
      <w:r>
        <w:rPr>
          <w:rFonts w:hint="eastAsia" w:ascii="仿宋" w:hAnsi="仿宋" w:eastAsia="仿宋" w:cs="仿宋"/>
          <w:b w:val="0"/>
          <w:color w:val="auto"/>
          <w:lang w:val="en-US" w:eastAsia="zh-CN"/>
        </w:rPr>
        <w:t>97</w:t>
      </w:r>
      <w:r>
        <w:rPr>
          <w:rFonts w:hint="eastAsia" w:ascii="仿宋" w:hAnsi="仿宋" w:eastAsia="仿宋" w:cs="仿宋"/>
          <w:b w:val="0"/>
          <w:color w:val="auto"/>
        </w:rPr>
        <w:t>例，</w:t>
      </w:r>
      <w:r>
        <w:rPr>
          <w:rStyle w:val="5"/>
          <w:rFonts w:hint="eastAsia" w:ascii="仿宋" w:hAnsi="仿宋" w:eastAsia="仿宋" w:cs="仿宋"/>
          <w:b w:val="0"/>
          <w:bCs w:val="0"/>
          <w:color w:val="auto"/>
        </w:rPr>
        <w:t>收到转诊单患者数</w:t>
      </w:r>
      <w:r>
        <w:rPr>
          <w:rStyle w:val="5"/>
          <w:rFonts w:hint="eastAsia" w:ascii="仿宋" w:hAnsi="仿宋" w:eastAsia="仿宋" w:cs="仿宋"/>
          <w:b w:val="0"/>
          <w:bCs w:val="0"/>
          <w:color w:val="auto"/>
          <w:lang w:val="en-US" w:eastAsia="zh-CN"/>
        </w:rPr>
        <w:t>93</w:t>
      </w:r>
      <w:r>
        <w:rPr>
          <w:rStyle w:val="5"/>
          <w:rFonts w:hint="eastAsia" w:ascii="仿宋" w:hAnsi="仿宋" w:eastAsia="仿宋" w:cs="仿宋"/>
          <w:b w:val="0"/>
          <w:bCs w:val="0"/>
          <w:color w:val="auto"/>
        </w:rPr>
        <w:t>例，</w:t>
      </w:r>
      <w:r>
        <w:rPr>
          <w:rFonts w:hint="eastAsia" w:ascii="仿宋" w:hAnsi="仿宋" w:eastAsia="仿宋" w:cs="仿宋"/>
          <w:b w:val="0"/>
          <w:color w:val="auto"/>
        </w:rPr>
        <w:t>转诊率达9</w:t>
      </w:r>
      <w:r>
        <w:rPr>
          <w:rFonts w:hint="eastAsia" w:ascii="仿宋" w:hAnsi="仿宋" w:eastAsia="仿宋" w:cs="仿宋"/>
          <w:b w:val="0"/>
          <w:color w:val="auto"/>
          <w:lang w:val="en-US" w:eastAsia="zh-CN"/>
        </w:rPr>
        <w:t>5.9</w:t>
      </w:r>
      <w:r>
        <w:rPr>
          <w:rFonts w:hint="eastAsia" w:ascii="仿宋" w:hAnsi="仿宋" w:eastAsia="仿宋" w:cs="仿宋"/>
          <w:b w:val="0"/>
          <w:color w:val="auto"/>
        </w:rPr>
        <w:t>%，达到了省厅下达的</w:t>
      </w:r>
      <w:r>
        <w:rPr>
          <w:rFonts w:hint="eastAsia" w:ascii="仿宋" w:hAnsi="仿宋" w:eastAsia="仿宋" w:cs="仿宋"/>
          <w:b w:val="0"/>
          <w:color w:val="auto"/>
          <w:kern w:val="0"/>
        </w:rPr>
        <w:t>医疗机构结核病病人报告率95%的指标。总体</w:t>
      </w:r>
      <w:r>
        <w:rPr>
          <w:rFonts w:hint="eastAsia" w:ascii="仿宋" w:hAnsi="仿宋" w:eastAsia="仿宋" w:cs="仿宋"/>
          <w:b w:val="0"/>
          <w:color w:val="auto"/>
        </w:rPr>
        <w:t>到位</w:t>
      </w:r>
      <w:r>
        <w:rPr>
          <w:rFonts w:hint="eastAsia" w:ascii="仿宋" w:hAnsi="仿宋" w:eastAsia="仿宋" w:cs="仿宋"/>
          <w:b w:val="0"/>
          <w:color w:val="auto"/>
          <w:lang w:val="en-US" w:eastAsia="zh-CN"/>
        </w:rPr>
        <w:t>93</w:t>
      </w:r>
      <w:r>
        <w:rPr>
          <w:rFonts w:hint="eastAsia" w:ascii="仿宋" w:hAnsi="仿宋" w:eastAsia="仿宋" w:cs="仿宋"/>
          <w:b w:val="0"/>
          <w:color w:val="auto"/>
        </w:rPr>
        <w:t>例，总体到位率9</w:t>
      </w:r>
      <w:r>
        <w:rPr>
          <w:rFonts w:hint="eastAsia" w:ascii="仿宋" w:hAnsi="仿宋" w:eastAsia="仿宋" w:cs="仿宋"/>
          <w:b w:val="0"/>
          <w:color w:val="auto"/>
          <w:lang w:val="en-US" w:eastAsia="zh-CN"/>
        </w:rPr>
        <w:t>5</w:t>
      </w:r>
      <w:r>
        <w:rPr>
          <w:rFonts w:hint="eastAsia" w:ascii="仿宋" w:hAnsi="仿宋" w:eastAsia="仿宋" w:cs="仿宋"/>
          <w:b w:val="0"/>
          <w:color w:val="auto"/>
        </w:rPr>
        <w:t>%，达到了省厅下达的</w:t>
      </w:r>
      <w:r>
        <w:rPr>
          <w:rFonts w:hint="eastAsia" w:ascii="仿宋" w:hAnsi="仿宋" w:eastAsia="仿宋" w:cs="仿宋"/>
          <w:b w:val="0"/>
          <w:color w:val="auto"/>
          <w:kern w:val="0"/>
        </w:rPr>
        <w:t>结核病防治机构追踪到位率85%的指标</w:t>
      </w:r>
      <w:r>
        <w:rPr>
          <w:rFonts w:hint="eastAsia" w:ascii="仿宋" w:hAnsi="仿宋" w:eastAsia="仿宋" w:cs="仿宋"/>
          <w:b w:val="0"/>
          <w:color w:val="auto"/>
          <w:kern w:val="0"/>
          <w:lang w:eastAsia="zh-CN"/>
        </w:rPr>
        <w:t>，</w:t>
      </w:r>
      <w:r>
        <w:rPr>
          <w:rFonts w:hint="eastAsia" w:ascii="仿宋" w:hAnsi="仿宋" w:eastAsia="仿宋" w:cs="仿宋"/>
          <w:b w:val="0"/>
          <w:color w:val="auto"/>
        </w:rPr>
        <w:t>结核病管理信息系统病案录入及时、准确、完整。</w:t>
      </w:r>
      <w:r>
        <w:rPr>
          <w:rFonts w:hint="eastAsia" w:ascii="仿宋" w:hAnsi="仿宋" w:eastAsia="仿宋" w:cs="仿宋"/>
          <w:b w:val="0"/>
          <w:bCs w:val="0"/>
          <w:sz w:val="32"/>
          <w:szCs w:val="32"/>
        </w:rPr>
        <w:t>全年定点医院共接诊可疑肺结核病人</w:t>
      </w:r>
      <w:r>
        <w:rPr>
          <w:rFonts w:hint="eastAsia" w:ascii="仿宋" w:hAnsi="仿宋" w:eastAsia="仿宋" w:cs="仿宋"/>
          <w:b w:val="0"/>
          <w:bCs w:val="0"/>
          <w:sz w:val="32"/>
          <w:szCs w:val="32"/>
          <w:lang w:val="en-US" w:eastAsia="zh-CN"/>
        </w:rPr>
        <w:t>238</w:t>
      </w:r>
      <w:r>
        <w:rPr>
          <w:rFonts w:hint="eastAsia" w:ascii="仿宋" w:hAnsi="仿宋" w:eastAsia="仿宋" w:cs="仿宋"/>
          <w:b w:val="0"/>
          <w:bCs w:val="0"/>
          <w:sz w:val="32"/>
          <w:szCs w:val="32"/>
        </w:rPr>
        <w:t>例，其中转诊（包括推荐）9</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rPr>
        <w:t>例，免费摄胸片2</w:t>
      </w:r>
      <w:r>
        <w:rPr>
          <w:rFonts w:hint="eastAsia" w:ascii="仿宋" w:hAnsi="仿宋" w:eastAsia="仿宋" w:cs="仿宋"/>
          <w:b w:val="0"/>
          <w:bCs w:val="0"/>
          <w:sz w:val="32"/>
          <w:szCs w:val="32"/>
          <w:lang w:val="en-US" w:eastAsia="zh-CN"/>
        </w:rPr>
        <w:t>37</w:t>
      </w:r>
      <w:r>
        <w:rPr>
          <w:rFonts w:hint="eastAsia" w:ascii="仿宋" w:hAnsi="仿宋" w:eastAsia="仿宋" w:cs="仿宋"/>
          <w:b w:val="0"/>
          <w:bCs w:val="0"/>
          <w:sz w:val="32"/>
          <w:szCs w:val="32"/>
        </w:rPr>
        <w:t>张，初诊者查痰</w:t>
      </w:r>
      <w:r>
        <w:rPr>
          <w:rFonts w:hint="eastAsia" w:ascii="仿宋" w:hAnsi="仿宋" w:eastAsia="仿宋" w:cs="仿宋"/>
          <w:b w:val="0"/>
          <w:bCs w:val="0"/>
          <w:sz w:val="32"/>
          <w:szCs w:val="32"/>
          <w:lang w:val="en-US" w:eastAsia="zh-CN"/>
        </w:rPr>
        <w:t>195例</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分子生物学检测79例，培养79例。</w:t>
      </w:r>
      <w:r>
        <w:rPr>
          <w:rFonts w:hint="eastAsia" w:ascii="仿宋" w:hAnsi="仿宋" w:eastAsia="仿宋" w:cs="仿宋"/>
          <w:b w:val="0"/>
          <w:bCs w:val="0"/>
          <w:sz w:val="32"/>
          <w:szCs w:val="32"/>
        </w:rPr>
        <w:t>其中活动性肺结核病人1</w:t>
      </w:r>
      <w:r>
        <w:rPr>
          <w:rFonts w:hint="eastAsia" w:ascii="仿宋" w:hAnsi="仿宋" w:eastAsia="仿宋" w:cs="仿宋"/>
          <w:b w:val="0"/>
          <w:bCs w:val="0"/>
          <w:sz w:val="32"/>
          <w:szCs w:val="32"/>
          <w:lang w:val="en-US" w:eastAsia="zh-CN"/>
        </w:rPr>
        <w:t>35</w:t>
      </w:r>
      <w:r>
        <w:rPr>
          <w:rFonts w:hint="eastAsia" w:ascii="仿宋" w:hAnsi="仿宋" w:eastAsia="仿宋" w:cs="仿宋"/>
          <w:b w:val="0"/>
          <w:bCs w:val="0"/>
          <w:sz w:val="32"/>
          <w:szCs w:val="32"/>
        </w:rPr>
        <w:t>例，免费治疗</w:t>
      </w:r>
      <w:r>
        <w:rPr>
          <w:rFonts w:hint="eastAsia" w:ascii="仿宋" w:hAnsi="仿宋" w:eastAsia="仿宋" w:cs="仿宋"/>
          <w:b w:val="0"/>
          <w:bCs w:val="0"/>
          <w:sz w:val="32"/>
          <w:szCs w:val="32"/>
          <w:lang w:val="en-US" w:eastAsia="zh-CN"/>
        </w:rPr>
        <w:t>97</w:t>
      </w:r>
      <w:r>
        <w:rPr>
          <w:rFonts w:hint="eastAsia" w:ascii="仿宋" w:hAnsi="仿宋" w:eastAsia="仿宋" w:cs="仿宋"/>
          <w:b w:val="0"/>
          <w:bCs w:val="0"/>
          <w:sz w:val="32"/>
          <w:szCs w:val="32"/>
        </w:rPr>
        <w:t>例，其中初治涂阳</w:t>
      </w:r>
      <w:r>
        <w:rPr>
          <w:rFonts w:hint="eastAsia" w:ascii="仿宋" w:hAnsi="仿宋" w:eastAsia="仿宋" w:cs="仿宋"/>
          <w:b w:val="0"/>
          <w:bCs w:val="0"/>
          <w:sz w:val="32"/>
          <w:szCs w:val="32"/>
          <w:lang w:val="en-US" w:eastAsia="zh-CN"/>
        </w:rPr>
        <w:t>69</w:t>
      </w:r>
      <w:r>
        <w:rPr>
          <w:rFonts w:hint="eastAsia" w:ascii="仿宋" w:hAnsi="仿宋" w:eastAsia="仿宋" w:cs="仿宋"/>
          <w:b w:val="0"/>
          <w:bCs w:val="0"/>
          <w:sz w:val="32"/>
          <w:szCs w:val="32"/>
        </w:rPr>
        <w:t>例，初治涂阴</w:t>
      </w:r>
      <w:r>
        <w:rPr>
          <w:rFonts w:hint="eastAsia" w:ascii="仿宋" w:hAnsi="仿宋" w:eastAsia="仿宋" w:cs="仿宋"/>
          <w:b w:val="0"/>
          <w:bCs w:val="0"/>
          <w:sz w:val="32"/>
          <w:szCs w:val="32"/>
          <w:lang w:val="en-US" w:eastAsia="zh-CN"/>
        </w:rPr>
        <w:t>66</w:t>
      </w:r>
      <w:r>
        <w:rPr>
          <w:rFonts w:hint="eastAsia" w:ascii="仿宋" w:hAnsi="仿宋" w:eastAsia="仿宋" w:cs="仿宋"/>
          <w:b w:val="0"/>
          <w:bCs w:val="0"/>
          <w:sz w:val="32"/>
          <w:szCs w:val="32"/>
        </w:rPr>
        <w:t>例，涂阳发现率</w:t>
      </w:r>
      <w:r>
        <w:rPr>
          <w:rFonts w:hint="eastAsia" w:ascii="仿宋" w:hAnsi="仿宋" w:eastAsia="仿宋" w:cs="仿宋"/>
          <w:b w:val="0"/>
          <w:bCs w:val="0"/>
          <w:sz w:val="32"/>
          <w:szCs w:val="32"/>
          <w:lang w:val="en-US" w:eastAsia="zh-CN"/>
        </w:rPr>
        <w:t>51.1</w:t>
      </w:r>
      <w:r>
        <w:rPr>
          <w:rFonts w:hint="eastAsia" w:ascii="仿宋" w:hAnsi="仿宋" w:eastAsia="仿宋" w:cs="仿宋"/>
          <w:b w:val="0"/>
          <w:bCs w:val="0"/>
          <w:sz w:val="32"/>
          <w:szCs w:val="32"/>
        </w:rPr>
        <w:t>%，达到50%要求。对所有免费病人均实行督导管理。</w:t>
      </w:r>
    </w:p>
    <w:p>
      <w:pPr>
        <w:pStyle w:val="7"/>
        <w:numPr>
          <w:ilvl w:val="0"/>
          <w:numId w:val="0"/>
        </w:numPr>
        <w:rPr>
          <w:rFonts w:hint="eastAsia" w:ascii="仿宋" w:hAnsi="仿宋" w:eastAsia="仿宋" w:cs="仿宋"/>
          <w:b w:val="0"/>
          <w:sz w:val="32"/>
          <w:szCs w:val="32"/>
        </w:rPr>
      </w:pPr>
    </w:p>
    <w:p>
      <w:pPr>
        <w:tabs>
          <w:tab w:val="left" w:pos="735"/>
        </w:tabs>
        <w:bidi w:val="0"/>
        <w:ind w:firstLine="640" w:firstLineChars="200"/>
        <w:jc w:val="left"/>
        <w:rPr>
          <w:rFonts w:hint="eastAsia" w:ascii="仿宋" w:hAnsi="仿宋" w:eastAsia="仿宋"/>
          <w:sz w:val="32"/>
          <w:szCs w:val="32"/>
        </w:rPr>
      </w:pPr>
      <w:r>
        <w:rPr>
          <w:rFonts w:hint="eastAsia" w:ascii="仿宋" w:hAnsi="仿宋" w:eastAsia="仿宋" w:cs="仿宋"/>
          <w:b w:val="0"/>
          <w:bCs/>
          <w:sz w:val="32"/>
          <w:szCs w:val="32"/>
          <w:lang w:eastAsia="zh-CN"/>
        </w:rPr>
        <w:t>精神卫生和</w:t>
      </w:r>
      <w:r>
        <w:rPr>
          <w:rFonts w:hint="eastAsia" w:ascii="仿宋" w:hAnsi="仿宋" w:eastAsia="仿宋" w:cs="仿宋"/>
          <w:b w:val="0"/>
          <w:bCs/>
          <w:sz w:val="32"/>
          <w:szCs w:val="32"/>
        </w:rPr>
        <w:t>慢性病防治专项</w:t>
      </w:r>
      <w:r>
        <w:rPr>
          <w:rFonts w:hint="eastAsia" w:ascii="仿宋" w:hAnsi="仿宋" w:eastAsia="仿宋" w:cs="仿宋"/>
          <w:b w:val="0"/>
          <w:bCs/>
          <w:sz w:val="32"/>
          <w:szCs w:val="32"/>
          <w:lang w:eastAsia="zh-CN"/>
        </w:rPr>
        <w:t>：</w:t>
      </w:r>
      <w:r>
        <w:rPr>
          <w:rFonts w:hint="eastAsia" w:ascii="仿宋" w:hAnsi="仿宋" w:eastAsia="仿宋" w:cs="仿宋"/>
          <w:sz w:val="32"/>
          <w:szCs w:val="32"/>
        </w:rPr>
        <w:t>建立社区卫生服务机构/乡镇卫生院与精神卫生专科机构的双向转诊和对口帮扶机制。落实精神卫生专科机构对基层医疗卫生机构的分片包干指导责任制，实现专科医师与基层精防人员的服务对接。全面开展控烟健康教育工作，</w:t>
      </w:r>
      <w:r>
        <w:rPr>
          <w:rFonts w:hint="eastAsia" w:ascii="仿宋" w:hAnsi="仿宋" w:eastAsia="仿宋"/>
          <w:kern w:val="0"/>
          <w:sz w:val="32"/>
          <w:szCs w:val="32"/>
          <w:lang w:val="en-US" w:eastAsia="zh-CN"/>
        </w:rPr>
        <w:t>2021年全县常住人口29万，累计高血压患者建档22386人，糖尿病患者建档7820人，严重精神障碍患者建档1779人，65岁及以上老年人建档42936人，高血压患者和糖尿病患者健康管理率、血压/血糖控制满意度均达到规定标准，65岁及以上老年人健康管理率达75%以上，严重精神障碍患者检出率超过规定的4.5‰，患者规范管理率、服药率规律服药率均超过国家规定指标。全年中心对各乡镇（中心）卫生院开展专项督导4次，针对督导中存在的问题提出整改意见，并要求限期整改到位。</w:t>
      </w:r>
    </w:p>
    <w:p>
      <w:pPr>
        <w:pStyle w:val="7"/>
        <w:ind w:firstLine="560"/>
        <w:rPr>
          <w:rFonts w:hint="eastAsia" w:ascii="仿宋" w:hAnsi="仿宋" w:eastAsia="仿宋" w:cs="仿宋"/>
          <w:sz w:val="32"/>
          <w:szCs w:val="32"/>
          <w:lang w:eastAsia="zh-CN"/>
        </w:rPr>
      </w:pPr>
      <w:r>
        <w:rPr>
          <w:rFonts w:hint="eastAsia" w:ascii="仿宋" w:hAnsi="仿宋" w:eastAsia="仿宋" w:cs="仿宋"/>
          <w:b w:val="0"/>
          <w:bCs w:val="0"/>
          <w:sz w:val="32"/>
          <w:szCs w:val="32"/>
          <w:lang w:val="en-US" w:eastAsia="zh-CN"/>
        </w:rPr>
        <w:t>新冠肺炎疫情防控工作</w:t>
      </w:r>
    </w:p>
    <w:p>
      <w:pPr>
        <w:tabs>
          <w:tab w:val="left" w:pos="897"/>
        </w:tabs>
        <w:bidi w:val="0"/>
        <w:ind w:firstLine="642"/>
        <w:jc w:val="left"/>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1、加强了组织领导。加强组织领导调整充实组织体系，成立了以中心主任贺晔为组长，副主任周志好、杨永东、文静波为副组长，相关人员为成员的工作领导小组，</w:t>
      </w:r>
      <w:r>
        <w:rPr>
          <w:rFonts w:hint="eastAsia" w:ascii="仿宋" w:hAnsi="仿宋" w:eastAsia="仿宋" w:cs="仿宋"/>
          <w:b w:val="0"/>
          <w:bCs w:val="0"/>
          <w:kern w:val="2"/>
          <w:sz w:val="32"/>
          <w:szCs w:val="32"/>
          <w:lang w:val="en-US" w:eastAsia="zh-CN" w:bidi="ar-SA"/>
        </w:rPr>
        <w:t>明确各小组的职责与工作任务，</w:t>
      </w:r>
      <w:r>
        <w:rPr>
          <w:rFonts w:hint="eastAsia" w:ascii="仿宋" w:hAnsi="仿宋" w:eastAsia="仿宋" w:cs="仿宋"/>
          <w:b w:val="0"/>
          <w:bCs w:val="0"/>
          <w:sz w:val="32"/>
          <w:szCs w:val="32"/>
          <w:lang w:val="en-US" w:eastAsia="zh-CN"/>
        </w:rPr>
        <w:t>责任到人</w:t>
      </w:r>
      <w:r>
        <w:rPr>
          <w:rFonts w:hint="eastAsia" w:ascii="仿宋" w:hAnsi="仿宋" w:eastAsia="仿宋" w:cs="仿宋"/>
          <w:sz w:val="32"/>
          <w:szCs w:val="32"/>
          <w:lang w:val="en-US" w:eastAsia="zh-CN"/>
        </w:rPr>
        <w:t>，</w:t>
      </w:r>
      <w:r>
        <w:rPr>
          <w:rFonts w:hint="eastAsia" w:ascii="仿宋" w:hAnsi="仿宋" w:eastAsia="仿宋" w:cs="仿宋"/>
          <w:b w:val="0"/>
          <w:bCs w:val="0"/>
          <w:kern w:val="2"/>
          <w:sz w:val="32"/>
          <w:szCs w:val="32"/>
          <w:lang w:val="en-US" w:eastAsia="zh-CN" w:bidi="ar-SA"/>
        </w:rPr>
        <w:t>并强调了疫情防控纪律要求。</w:t>
      </w:r>
      <w:r>
        <w:rPr>
          <w:rFonts w:hint="eastAsia" w:ascii="仿宋" w:hAnsi="仿宋" w:eastAsia="仿宋" w:cs="仿宋"/>
          <w:kern w:val="2"/>
          <w:sz w:val="32"/>
          <w:szCs w:val="32"/>
          <w:lang w:val="en-US" w:eastAsia="zh-CN" w:bidi="ar-SA"/>
        </w:rPr>
        <w:t>制定了《绥宁县疾控中心新型冠状病毒感染的肺炎防控工作方案》，多次召开专题会议，研究部署各项防控措施。</w:t>
      </w:r>
      <w:r>
        <w:rPr>
          <w:rFonts w:hint="eastAsia" w:ascii="仿宋" w:hAnsi="仿宋" w:eastAsia="仿宋" w:cs="仿宋"/>
          <w:b w:val="0"/>
          <w:bCs w:val="0"/>
          <w:kern w:val="2"/>
          <w:sz w:val="32"/>
          <w:szCs w:val="32"/>
          <w:lang w:val="en-US" w:eastAsia="zh-CN" w:bidi="ar-SA"/>
        </w:rPr>
        <w:t>加强业务培训10月</w:t>
      </w:r>
      <w:r>
        <w:rPr>
          <w:rFonts w:hint="eastAsia" w:ascii="仿宋" w:hAnsi="仿宋" w:eastAsia="仿宋" w:cs="仿宋"/>
          <w:sz w:val="32"/>
          <w:szCs w:val="32"/>
          <w:lang w:val="en-US" w:eastAsia="zh-CN"/>
        </w:rPr>
        <w:t>邀请市疾控流行病学专家肖善良副主任到我县，对全县所有卫生院及学校相关负责人就新冠肺炎疫情防控开展培训，同时积极组织人员参加省市线上线下培训10余次，50人次，进一步提高防控意识和防控处置能力。</w:t>
      </w:r>
    </w:p>
    <w:p>
      <w:pPr>
        <w:tabs>
          <w:tab w:val="left" w:pos="897"/>
        </w:tabs>
        <w:bidi w:val="0"/>
        <w:ind w:firstLine="642"/>
        <w:jc w:val="left"/>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2、完善了流行病学调查和密切接触者追踪管理。</w:t>
      </w:r>
      <w:r>
        <w:rPr>
          <w:rFonts w:hint="eastAsia" w:ascii="仿宋" w:hAnsi="仿宋" w:eastAsia="仿宋" w:cs="仿宋"/>
          <w:sz w:val="32"/>
          <w:szCs w:val="32"/>
          <w:lang w:val="en-US" w:eastAsia="zh-CN"/>
        </w:rPr>
        <w:t>按时完成了所有预警信息的处理和突发公共卫生事件报告工作，</w:t>
      </w:r>
      <w:r>
        <w:rPr>
          <w:rFonts w:hint="eastAsia" w:ascii="仿宋" w:hAnsi="仿宋" w:eastAsia="仿宋" w:cs="仿宋"/>
          <w:b w:val="0"/>
          <w:bCs w:val="0"/>
          <w:sz w:val="32"/>
          <w:szCs w:val="32"/>
          <w:lang w:val="en-US" w:eastAsia="zh-CN"/>
        </w:rPr>
        <w:t>及时对境外、中高风险地区、省推送返绥人员及其他重点人群进行调查处置，管控到位，截止目前累计出动流调1100余次，调查管控1700余人。</w:t>
      </w:r>
    </w:p>
    <w:p>
      <w:pPr>
        <w:bidi w:val="0"/>
        <w:ind w:firstLine="640" w:firstLineChars="200"/>
        <w:jc w:val="left"/>
        <w:rPr>
          <w:rFonts w:hint="eastAsia" w:ascii="仿宋" w:hAnsi="仿宋" w:eastAsia="仿宋" w:cs="仿宋"/>
          <w:b w:val="0"/>
          <w:bCs w:val="0"/>
          <w:kern w:val="2"/>
          <w:sz w:val="32"/>
          <w:szCs w:val="32"/>
          <w:lang w:val="en-US" w:eastAsia="zh-CN" w:bidi="ar-SA"/>
        </w:rPr>
      </w:pPr>
      <w:r>
        <w:rPr>
          <w:rFonts w:hint="eastAsia" w:ascii="仿宋" w:hAnsi="仿宋" w:eastAsia="仿宋" w:cs="仿宋"/>
          <w:b w:val="0"/>
          <w:bCs w:val="0"/>
          <w:sz w:val="32"/>
          <w:szCs w:val="32"/>
          <w:lang w:val="en-US" w:eastAsia="zh-CN"/>
        </w:rPr>
        <w:t>3、严格开展了疫情监测和核酸检测。中心严格实行24小时应急值班制度，有专人负责疫情监测网络报告工作，同时加强与各医疗机构的信息互联互通，</w:t>
      </w:r>
      <w:r>
        <w:rPr>
          <w:rFonts w:hint="eastAsia" w:ascii="仿宋" w:hAnsi="仿宋" w:eastAsia="仿宋"/>
          <w:kern w:val="0"/>
          <w:sz w:val="32"/>
          <w:szCs w:val="32"/>
        </w:rPr>
        <w:t>做到</w:t>
      </w:r>
      <w:r>
        <w:rPr>
          <w:rFonts w:hint="eastAsia" w:ascii="仿宋" w:hAnsi="仿宋" w:eastAsia="仿宋"/>
          <w:kern w:val="0"/>
          <w:sz w:val="32"/>
          <w:szCs w:val="32"/>
          <w:lang w:eastAsia="zh-CN"/>
        </w:rPr>
        <w:t>了</w:t>
      </w:r>
      <w:r>
        <w:rPr>
          <w:rFonts w:hint="eastAsia" w:ascii="仿宋" w:hAnsi="仿宋" w:eastAsia="仿宋"/>
          <w:kern w:val="0"/>
          <w:sz w:val="32"/>
          <w:szCs w:val="32"/>
        </w:rPr>
        <w:t>“早发现、早诊断、早隔离、早报告、早治疗”</w:t>
      </w:r>
      <w:r>
        <w:rPr>
          <w:rFonts w:hint="eastAsia" w:ascii="仿宋" w:hAnsi="仿宋" w:eastAsia="仿宋"/>
          <w:kern w:val="0"/>
          <w:sz w:val="32"/>
          <w:szCs w:val="32"/>
          <w:lang w:eastAsia="zh-CN"/>
        </w:rPr>
        <w:t>。</w:t>
      </w:r>
      <w:r>
        <w:rPr>
          <w:rFonts w:hint="eastAsia" w:ascii="仿宋" w:hAnsi="仿宋" w:eastAsia="仿宋" w:cs="仿宋"/>
          <w:b w:val="0"/>
          <w:bCs w:val="0"/>
          <w:sz w:val="32"/>
          <w:szCs w:val="32"/>
          <w:lang w:val="en-US" w:eastAsia="zh-CN"/>
        </w:rPr>
        <w:t>进一步做好核酸采样检测工作。截止11月25日全县开展核酸检测17万份，其中发热门诊1.4万份，医务人员2.01万份，新住院患者及陪护5.4万份，省市推送重点人员0.4万份，交通冷链从业人员0.54万份，冷链食品及环境0.18万份，所有结果均为阴性。</w:t>
      </w:r>
    </w:p>
    <w:p>
      <w:pPr>
        <w:bidi w:val="0"/>
        <w:ind w:firstLine="640" w:firstLineChars="200"/>
        <w:jc w:val="left"/>
        <w:rPr>
          <w:rFonts w:hint="eastAsia" w:ascii="仿宋" w:hAnsi="仿宋" w:eastAsia="仿宋" w:cs="仿宋"/>
          <w:b w:val="0"/>
          <w:bCs w:val="0"/>
          <w:sz w:val="32"/>
          <w:szCs w:val="32"/>
          <w:lang w:val="en-US" w:eastAsia="zh-CN"/>
        </w:rPr>
      </w:pPr>
      <w:r>
        <w:rPr>
          <w:rFonts w:hint="eastAsia" w:ascii="仿宋" w:hAnsi="仿宋" w:eastAsia="仿宋"/>
          <w:b w:val="0"/>
          <w:bCs w:val="0"/>
          <w:kern w:val="0"/>
          <w:sz w:val="32"/>
          <w:szCs w:val="32"/>
          <w:lang w:val="en-US" w:eastAsia="zh-CN"/>
        </w:rPr>
        <w:t>4、加强了</w:t>
      </w:r>
      <w:r>
        <w:rPr>
          <w:rFonts w:hint="eastAsia" w:ascii="仿宋" w:hAnsi="仿宋" w:eastAsia="仿宋" w:cs="仿宋"/>
          <w:b w:val="0"/>
          <w:bCs w:val="0"/>
          <w:sz w:val="32"/>
          <w:szCs w:val="32"/>
          <w:lang w:val="en-US" w:eastAsia="zh-CN"/>
        </w:rPr>
        <w:t>消毒工作和风险区及境外返绥人员管理。一是指导各大商场、车站、农贸市场、养殖场等场所开展消毒工作，共指导68个单位及场所开展规范消毒，发放84消毒液120余件。二是对集中医学观察场所进行了消毒，并安排专人每天对集中医学观察人员住所进行两次以上的日常性消毒工作。三是</w:t>
      </w:r>
      <w:r>
        <w:rPr>
          <w:rFonts w:hint="eastAsia" w:ascii="仿宋" w:hAnsi="仿宋" w:eastAsia="仿宋" w:cs="仿宋"/>
          <w:kern w:val="2"/>
          <w:sz w:val="32"/>
          <w:szCs w:val="32"/>
          <w:lang w:val="en-US" w:eastAsia="zh-CN" w:bidi="ar-SA"/>
        </w:rPr>
        <w:t>中心严格执行院内消毒工作，每天上午、下午有专人负责中心室内及公共区域消毒工作。</w:t>
      </w:r>
      <w:r>
        <w:rPr>
          <w:rFonts w:hint="eastAsia" w:ascii="仿宋" w:hAnsi="仿宋" w:eastAsia="仿宋" w:cs="仿宋"/>
          <w:b w:val="0"/>
          <w:bCs w:val="0"/>
          <w:sz w:val="32"/>
          <w:szCs w:val="32"/>
          <w:lang w:val="en-US" w:eastAsia="zh-CN"/>
        </w:rPr>
        <w:t>四是进一步加强了中高风险地区及境外回绥人员管理，对所有中高风险地区及境外回绥人员进行了流行病学调查，并按要求开展核酸检测和健康管理工作。</w:t>
      </w:r>
    </w:p>
    <w:p>
      <w:pPr>
        <w:numPr>
          <w:ilvl w:val="0"/>
          <w:numId w:val="0"/>
        </w:numPr>
        <w:ind w:firstLine="640" w:firstLineChars="200"/>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5、加强了宣传教育，加大了业务技术人员培训。</w:t>
      </w:r>
      <w:r>
        <w:rPr>
          <w:rFonts w:hint="eastAsia" w:ascii="仿宋" w:hAnsi="仿宋" w:eastAsia="仿宋" w:cs="仿宋"/>
          <w:b/>
          <w:bCs/>
          <w:kern w:val="2"/>
          <w:sz w:val="32"/>
          <w:szCs w:val="32"/>
          <w:lang w:val="en-US" w:eastAsia="zh-CN" w:bidi="ar-SA"/>
        </w:rPr>
        <w:t>一是</w:t>
      </w:r>
      <w:r>
        <w:rPr>
          <w:rFonts w:hint="eastAsia" w:ascii="仿宋" w:hAnsi="仿宋" w:eastAsia="仿宋" w:cs="仿宋"/>
          <w:kern w:val="2"/>
          <w:sz w:val="32"/>
          <w:szCs w:val="32"/>
          <w:lang w:val="en-US" w:eastAsia="zh-CN" w:bidi="ar-SA"/>
        </w:rPr>
        <w:t>多次在县城、乡镇开展新冠肺炎防控宣传，共接受群众咨询3500人次。</w:t>
      </w:r>
      <w:r>
        <w:rPr>
          <w:rFonts w:hint="eastAsia" w:ascii="仿宋" w:hAnsi="仿宋" w:eastAsia="仿宋" w:cs="仿宋"/>
          <w:b/>
          <w:bCs/>
          <w:kern w:val="2"/>
          <w:sz w:val="32"/>
          <w:szCs w:val="32"/>
          <w:lang w:val="en-US" w:eastAsia="zh-CN" w:bidi="ar-SA"/>
        </w:rPr>
        <w:t>二是</w:t>
      </w:r>
      <w:r>
        <w:rPr>
          <w:rFonts w:hint="eastAsia" w:ascii="仿宋" w:hAnsi="仿宋" w:eastAsia="仿宋" w:cs="仿宋"/>
          <w:b w:val="0"/>
          <w:bCs w:val="0"/>
          <w:sz w:val="32"/>
          <w:szCs w:val="32"/>
          <w:lang w:val="en-US" w:eastAsia="zh-CN"/>
        </w:rPr>
        <w:t>利用村村通广播，定时宣传新冠肺炎防控和新冠疫苗接种知识。</w:t>
      </w:r>
      <w:r>
        <w:rPr>
          <w:rFonts w:hint="eastAsia" w:ascii="仿宋" w:hAnsi="仿宋" w:eastAsia="仿宋" w:cs="仿宋"/>
          <w:b/>
          <w:bCs/>
          <w:sz w:val="32"/>
          <w:szCs w:val="32"/>
          <w:lang w:val="en-US" w:eastAsia="zh-CN"/>
        </w:rPr>
        <w:t>三是</w:t>
      </w:r>
      <w:r>
        <w:rPr>
          <w:rFonts w:hint="eastAsia" w:ascii="仿宋" w:hAnsi="仿宋" w:eastAsia="仿宋" w:cs="仿宋"/>
          <w:b w:val="0"/>
          <w:bCs w:val="0"/>
          <w:sz w:val="32"/>
          <w:szCs w:val="32"/>
          <w:lang w:val="en-US" w:eastAsia="zh-CN"/>
        </w:rPr>
        <w:t>印刷新冠肺炎疫情防控知识宣传单、宣传折7万份，分发到各个乡镇、街道和社区以及各医疗机构、企事业单位等。通过多种形式的宣传，提高了广大人民群众防病意识。</w:t>
      </w:r>
      <w:r>
        <w:rPr>
          <w:rFonts w:hint="eastAsia" w:ascii="仿宋" w:hAnsi="仿宋" w:eastAsia="仿宋" w:cs="仿宋"/>
          <w:b/>
          <w:bCs/>
          <w:sz w:val="32"/>
          <w:szCs w:val="32"/>
          <w:lang w:val="en-US" w:eastAsia="zh-CN"/>
        </w:rPr>
        <w:t>四是</w:t>
      </w:r>
      <w:r>
        <w:rPr>
          <w:rFonts w:hint="eastAsia" w:ascii="仿宋" w:hAnsi="仿宋" w:eastAsia="仿宋" w:cs="仿宋"/>
          <w:b w:val="0"/>
          <w:bCs w:val="0"/>
          <w:sz w:val="32"/>
          <w:szCs w:val="32"/>
          <w:lang w:val="en-US" w:eastAsia="zh-CN"/>
        </w:rPr>
        <w:t>对全县各医疗机构开展新冠肺炎防控知识和核酸检测能力培训4期，全年共培训420人次。</w:t>
      </w:r>
    </w:p>
    <w:p>
      <w:pPr>
        <w:tabs>
          <w:tab w:val="left" w:pos="897"/>
        </w:tabs>
        <w:bidi w:val="0"/>
        <w:ind w:firstLine="642"/>
        <w:jc w:val="left"/>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6、切实做好了新冠疫苗接种工作。</w:t>
      </w:r>
      <w:r>
        <w:rPr>
          <w:rFonts w:hint="eastAsia" w:ascii="仿宋" w:hAnsi="仿宋" w:eastAsia="仿宋" w:cs="仿宋"/>
          <w:b/>
          <w:bCs/>
          <w:sz w:val="32"/>
          <w:szCs w:val="32"/>
          <w:lang w:val="en-US" w:eastAsia="zh-CN"/>
        </w:rPr>
        <w:t>一是</w:t>
      </w:r>
      <w:r>
        <w:rPr>
          <w:rFonts w:hint="eastAsia" w:ascii="仿宋" w:hAnsi="仿宋" w:eastAsia="仿宋" w:cs="仿宋"/>
          <w:b w:val="0"/>
          <w:bCs w:val="0"/>
          <w:sz w:val="32"/>
          <w:szCs w:val="32"/>
          <w:lang w:val="en-US" w:eastAsia="zh-CN"/>
        </w:rPr>
        <w:t>严格</w:t>
      </w:r>
      <w:r>
        <w:rPr>
          <w:rFonts w:hint="eastAsia" w:ascii="仿宋" w:hAnsi="仿宋" w:eastAsia="仿宋" w:cs="仿宋"/>
          <w:sz w:val="32"/>
          <w:szCs w:val="32"/>
          <w:lang w:val="en-US" w:eastAsia="zh-CN"/>
        </w:rPr>
        <w:t>按照省联防联控机制和市委疫情防控指挥部的相关文件精神制定了对应的工作方案和实施方案。</w:t>
      </w:r>
      <w:r>
        <w:rPr>
          <w:rFonts w:hint="eastAsia" w:ascii="仿宋" w:hAnsi="仿宋" w:eastAsia="仿宋" w:cs="仿宋"/>
          <w:b/>
          <w:bCs/>
          <w:sz w:val="32"/>
          <w:szCs w:val="32"/>
          <w:lang w:val="en-US" w:eastAsia="zh-CN"/>
        </w:rPr>
        <w:t>二是</w:t>
      </w:r>
      <w:r>
        <w:rPr>
          <w:rFonts w:hint="eastAsia" w:ascii="仿宋" w:hAnsi="仿宋" w:eastAsia="仿宋" w:cs="仿宋"/>
          <w:b w:val="0"/>
          <w:bCs w:val="0"/>
          <w:sz w:val="32"/>
          <w:szCs w:val="32"/>
          <w:lang w:val="en-US" w:eastAsia="zh-CN"/>
        </w:rPr>
        <w:t>认真做好接种点设置和疫苗采购工作。截止</w:t>
      </w:r>
      <w:r>
        <w:rPr>
          <w:rFonts w:hint="eastAsia" w:ascii="仿宋" w:hAnsi="仿宋" w:eastAsia="仿宋"/>
          <w:kern w:val="0"/>
          <w:sz w:val="32"/>
          <w:szCs w:val="32"/>
          <w:lang w:val="en-US" w:eastAsia="zh-CN"/>
        </w:rPr>
        <w:t>11月25日，全县累计接种新冠病毒疫苗438715剂次，其中第一剂次接种214194剂次，第二剂次接种203898剂次，第三剂次接种17533剂次，全程接种率99.24%。</w:t>
      </w:r>
      <w:r>
        <w:rPr>
          <w:rFonts w:hint="eastAsia" w:ascii="仿宋" w:hAnsi="仿宋" w:eastAsia="仿宋" w:cs="仿宋"/>
          <w:b w:val="0"/>
          <w:bCs w:val="0"/>
          <w:sz w:val="32"/>
          <w:szCs w:val="32"/>
          <w:lang w:val="en-US" w:eastAsia="zh-CN"/>
        </w:rPr>
        <w:t>无重度疑似接种异常反应报告。</w:t>
      </w:r>
    </w:p>
    <w:p>
      <w:pPr>
        <w:pStyle w:val="7"/>
        <w:numPr>
          <w:ilvl w:val="0"/>
          <w:numId w:val="0"/>
        </w:numPr>
        <w:ind w:leftChars="0" w:firstLine="640" w:firstLineChars="200"/>
        <w:rPr>
          <w:rFonts w:hint="eastAsia" w:ascii="仿宋" w:hAnsi="仿宋" w:eastAsia="仿宋"/>
          <w:sz w:val="32"/>
          <w:szCs w:val="32"/>
        </w:rPr>
      </w:pPr>
    </w:p>
    <w:p>
      <w:pPr>
        <w:numPr>
          <w:ilvl w:val="0"/>
          <w:numId w:val="0"/>
        </w:numPr>
        <w:shd w:val="solid" w:color="FFFFFF" w:fill="auto"/>
        <w:autoSpaceDN w:val="0"/>
        <w:spacing w:line="560" w:lineRule="atLeast"/>
        <w:ind w:firstLine="640" w:firstLineChars="200"/>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val="en-US" w:eastAsia="zh-CN"/>
        </w:rPr>
        <w:t>2、</w:t>
      </w:r>
      <w:r>
        <w:rPr>
          <w:rStyle w:val="6"/>
          <w:rFonts w:hint="eastAsia" w:ascii="仿宋" w:hAnsi="仿宋" w:eastAsia="仿宋"/>
          <w:color w:val="auto"/>
          <w:sz w:val="32"/>
          <w:szCs w:val="32"/>
          <w:u w:val="none"/>
        </w:rPr>
        <w:t>项目完成质量</w:t>
      </w:r>
      <w:r>
        <w:rPr>
          <w:rStyle w:val="6"/>
          <w:rFonts w:hint="eastAsia" w:ascii="仿宋" w:hAnsi="仿宋" w:eastAsia="仿宋"/>
          <w:color w:val="auto"/>
          <w:sz w:val="32"/>
          <w:szCs w:val="32"/>
          <w:u w:val="none"/>
          <w:lang w:eastAsia="zh-CN"/>
        </w:rPr>
        <w:t>和投入产出：</w:t>
      </w:r>
    </w:p>
    <w:p>
      <w:pPr>
        <w:shd w:val="solid" w:color="FFFFFF" w:fill="auto"/>
        <w:autoSpaceDN w:val="0"/>
        <w:spacing w:line="560" w:lineRule="atLeast"/>
        <w:ind w:firstLine="640"/>
        <w:rPr>
          <w:rStyle w:val="6"/>
          <w:rFonts w:hint="default" w:ascii="仿宋" w:hAnsi="仿宋" w:eastAsia="仿宋"/>
          <w:color w:val="auto"/>
          <w:sz w:val="32"/>
          <w:szCs w:val="32"/>
          <w:u w:val="none"/>
          <w:lang w:val="en-US" w:eastAsia="zh-CN"/>
        </w:rPr>
      </w:pPr>
      <w:r>
        <w:rPr>
          <w:rStyle w:val="6"/>
          <w:rFonts w:hint="eastAsia" w:ascii="仿宋" w:hAnsi="仿宋" w:eastAsia="仿宋"/>
          <w:color w:val="auto"/>
          <w:sz w:val="32"/>
          <w:szCs w:val="32"/>
          <w:u w:val="none"/>
          <w:lang w:eastAsia="zh-CN"/>
        </w:rPr>
        <w:t>我单位各项目科室按省市工作方案的要求扎实认真的落实到位，在业务领导的指导下，按时按质量的完成各项指标任务，各项目工作在年终督导检查时得到了市领导的认可和表扬。</w:t>
      </w:r>
      <w:r>
        <w:rPr>
          <w:rFonts w:hint="eastAsia" w:ascii="仿宋" w:hAnsi="仿宋" w:eastAsia="仿宋" w:cs="仿宋"/>
          <w:sz w:val="32"/>
          <w:szCs w:val="32"/>
          <w:lang w:val="en-US" w:eastAsia="zh-CN"/>
        </w:rPr>
        <w:t>湘财预指[2020]0362号中央补助重大传染病防控项目83.2万元（艾滋病防治经费37.05万元，结核病防治经费26.8万元，精神卫生和慢病防治经费4.35万元，免疫规划15万元），8月份下达83.2万元。湘财预[2021]0049号重大传染病防控中央补助经费25.91万元（艾滋病防治经费14.5万元，结核病防治经费4.71万元，精神卫生和慢病防治经费2.7万元，新冠肺炎疫情防控经费4万元）。县财政12月下达25.91万元。</w:t>
      </w:r>
    </w:p>
    <w:p>
      <w:pPr>
        <w:shd w:val="solid" w:color="FFFFFF" w:fill="auto"/>
        <w:autoSpaceDN w:val="0"/>
        <w:spacing w:line="560" w:lineRule="atLeast"/>
        <w:ind w:firstLine="640"/>
        <w:rPr>
          <w:rStyle w:val="6"/>
          <w:rFonts w:ascii="仿宋" w:hAnsi="仿宋" w:eastAsia="仿宋"/>
          <w:color w:val="auto"/>
          <w:sz w:val="32"/>
          <w:szCs w:val="32"/>
          <w:u w:val="none"/>
        </w:rPr>
      </w:pPr>
      <w:r>
        <w:rPr>
          <w:rStyle w:val="6"/>
          <w:rFonts w:hint="eastAsia" w:ascii="仿宋" w:hAnsi="仿宋" w:eastAsia="仿宋"/>
          <w:color w:val="auto"/>
          <w:sz w:val="32"/>
          <w:szCs w:val="32"/>
          <w:u w:val="none"/>
          <w:lang w:val="en-US" w:eastAsia="zh-CN"/>
        </w:rPr>
        <w:t>3、</w:t>
      </w:r>
      <w:r>
        <w:rPr>
          <w:rStyle w:val="6"/>
          <w:rFonts w:hint="eastAsia" w:ascii="仿宋" w:hAnsi="仿宋" w:eastAsia="仿宋"/>
          <w:color w:val="auto"/>
          <w:sz w:val="32"/>
          <w:szCs w:val="32"/>
          <w:u w:val="none"/>
        </w:rPr>
        <w:t>项目</w:t>
      </w:r>
      <w:r>
        <w:rPr>
          <w:rStyle w:val="6"/>
          <w:rFonts w:hint="eastAsia" w:ascii="仿宋" w:hAnsi="仿宋" w:eastAsia="仿宋"/>
          <w:color w:val="auto"/>
          <w:sz w:val="32"/>
          <w:szCs w:val="32"/>
          <w:u w:val="none"/>
          <w:lang w:eastAsia="zh-CN"/>
        </w:rPr>
        <w:t>管理制</w:t>
      </w:r>
      <w:r>
        <w:rPr>
          <w:rStyle w:val="6"/>
          <w:rFonts w:hint="eastAsia" w:ascii="仿宋" w:hAnsi="仿宋" w:eastAsia="仿宋"/>
          <w:color w:val="auto"/>
          <w:sz w:val="32"/>
          <w:szCs w:val="32"/>
          <w:u w:val="none"/>
        </w:rPr>
        <w:t>度</w:t>
      </w:r>
      <w:r>
        <w:rPr>
          <w:rStyle w:val="6"/>
          <w:rFonts w:hint="eastAsia" w:ascii="仿宋" w:hAnsi="仿宋" w:eastAsia="仿宋"/>
          <w:color w:val="auto"/>
          <w:sz w:val="32"/>
          <w:szCs w:val="32"/>
          <w:u w:val="none"/>
          <w:lang w:eastAsia="zh-CN"/>
        </w:rPr>
        <w:t>和措施执行情况</w:t>
      </w:r>
      <w:r>
        <w:rPr>
          <w:rStyle w:val="6"/>
          <w:rFonts w:hint="eastAsia" w:ascii="仿宋" w:hAnsi="仿宋" w:eastAsia="仿宋"/>
          <w:color w:val="auto"/>
          <w:sz w:val="32"/>
          <w:szCs w:val="32"/>
          <w:u w:val="none"/>
        </w:rPr>
        <w:t>；</w:t>
      </w:r>
      <w:r>
        <w:rPr>
          <w:rStyle w:val="6"/>
          <w:rFonts w:hint="eastAsia" w:ascii="仿宋" w:hAnsi="仿宋" w:eastAsia="仿宋"/>
          <w:color w:val="auto"/>
          <w:sz w:val="32"/>
          <w:szCs w:val="32"/>
          <w:u w:val="none"/>
          <w:lang w:eastAsia="zh-CN"/>
        </w:rPr>
        <w:t>我单位各项目科室按省市工作方案的要求扎实认真落实到实处，每阶段及时与省市对接跟进到位。</w:t>
      </w:r>
    </w:p>
    <w:p>
      <w:pPr>
        <w:pStyle w:val="7"/>
        <w:ind w:firstLine="588"/>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eastAsia="zh-CN"/>
        </w:rPr>
        <w:t>（二）、有效性分析</w:t>
      </w:r>
    </w:p>
    <w:p>
      <w:pPr>
        <w:shd w:val="solid" w:color="FFFFFF" w:fill="auto"/>
        <w:autoSpaceDN w:val="0"/>
        <w:spacing w:line="560" w:lineRule="atLeast"/>
        <w:ind w:firstLine="64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rPr>
        <w:t>项目实施的经济效益分析；</w:t>
      </w:r>
      <w:r>
        <w:rPr>
          <w:rStyle w:val="6"/>
          <w:rFonts w:hint="eastAsia" w:ascii="仿宋" w:hAnsi="仿宋" w:eastAsia="仿宋"/>
          <w:color w:val="auto"/>
          <w:sz w:val="32"/>
          <w:szCs w:val="32"/>
          <w:u w:val="none"/>
          <w:lang w:eastAsia="zh-CN"/>
        </w:rPr>
        <w:t>在项目工作开展中，严重感到资金不足，有新的想法，不敢创新，有超前的工作思维，不敢下手去做。各项目在实施过程中，提高了广大群众的对各项目的认识，增加了对各项目的防犯意识，通过宣传，使全县广大人群对各项目的内容知识知晓率达到</w:t>
      </w:r>
      <w:r>
        <w:rPr>
          <w:rStyle w:val="6"/>
          <w:rFonts w:hint="eastAsia" w:ascii="仿宋" w:hAnsi="仿宋" w:eastAsia="仿宋"/>
          <w:color w:val="auto"/>
          <w:sz w:val="32"/>
          <w:szCs w:val="32"/>
          <w:u w:val="none"/>
          <w:lang w:val="en-US" w:eastAsia="zh-CN"/>
        </w:rPr>
        <w:t>95%以上。</w:t>
      </w:r>
    </w:p>
    <w:p>
      <w:pPr>
        <w:numPr>
          <w:ilvl w:val="0"/>
          <w:numId w:val="0"/>
        </w:numPr>
        <w:shd w:val="solid" w:color="FFFFFF" w:fill="auto"/>
        <w:autoSpaceDN w:val="0"/>
        <w:spacing w:line="560" w:lineRule="atLeast"/>
        <w:ind w:firstLine="640" w:firstLineChars="20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lang w:val="en-US" w:eastAsia="zh-CN"/>
        </w:rPr>
        <w:t>（三）、社会性分析</w:t>
      </w:r>
    </w:p>
    <w:p>
      <w:pPr>
        <w:shd w:val="solid" w:color="FFFFFF" w:fill="auto"/>
        <w:autoSpaceDN w:val="0"/>
        <w:spacing w:line="560" w:lineRule="atLeast"/>
        <w:ind w:firstLine="640"/>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eastAsia="zh-CN"/>
        </w:rPr>
        <w:t>各项目在实施过程中，提高了广大群众的对各项目的认识，增加了对各项目的防犯意识，通过宣传，使全县广大人群对各项目的内容知识知晓率达到</w:t>
      </w:r>
      <w:r>
        <w:rPr>
          <w:rStyle w:val="6"/>
          <w:rFonts w:hint="eastAsia" w:ascii="仿宋" w:hAnsi="仿宋" w:eastAsia="仿宋"/>
          <w:color w:val="auto"/>
          <w:sz w:val="32"/>
          <w:szCs w:val="32"/>
          <w:u w:val="none"/>
          <w:lang w:val="en-US" w:eastAsia="zh-CN"/>
        </w:rPr>
        <w:t>95%以上。</w:t>
      </w:r>
      <w:r>
        <w:rPr>
          <w:rStyle w:val="6"/>
          <w:rFonts w:hint="eastAsia" w:ascii="仿宋" w:hAnsi="仿宋" w:eastAsia="仿宋"/>
          <w:color w:val="auto"/>
          <w:sz w:val="32"/>
          <w:szCs w:val="32"/>
          <w:u w:val="none"/>
        </w:rPr>
        <w:t>项目实施的生态效益分析；</w:t>
      </w:r>
      <w:r>
        <w:rPr>
          <w:rStyle w:val="6"/>
          <w:rFonts w:hint="eastAsia" w:ascii="仿宋" w:hAnsi="仿宋" w:eastAsia="仿宋"/>
          <w:color w:val="auto"/>
          <w:sz w:val="32"/>
          <w:szCs w:val="32"/>
          <w:u w:val="none"/>
          <w:lang w:eastAsia="zh-CN"/>
        </w:rPr>
        <w:t>无生态影响。</w:t>
      </w:r>
      <w:r>
        <w:rPr>
          <w:rStyle w:val="6"/>
          <w:rFonts w:hint="eastAsia" w:ascii="仿宋" w:hAnsi="仿宋" w:eastAsia="仿宋"/>
          <w:color w:val="auto"/>
          <w:sz w:val="32"/>
          <w:szCs w:val="32"/>
          <w:u w:val="none"/>
        </w:rPr>
        <w:t>项目实施的可持续影响分析；</w:t>
      </w:r>
      <w:r>
        <w:rPr>
          <w:rStyle w:val="6"/>
          <w:rFonts w:hint="eastAsia" w:ascii="仿宋" w:hAnsi="仿宋" w:eastAsia="仿宋"/>
          <w:color w:val="auto"/>
          <w:sz w:val="32"/>
          <w:szCs w:val="32"/>
          <w:u w:val="none"/>
          <w:lang w:eastAsia="zh-CN"/>
        </w:rPr>
        <w:t>可持续。</w:t>
      </w:r>
    </w:p>
    <w:p>
      <w:pPr>
        <w:shd w:val="solid" w:color="FFFFFF" w:fill="auto"/>
        <w:autoSpaceDN w:val="0"/>
        <w:spacing w:line="560" w:lineRule="atLeast"/>
        <w:ind w:firstLine="640"/>
        <w:rPr>
          <w:rStyle w:val="6"/>
          <w:rFonts w:hint="eastAsia" w:ascii="仿宋" w:hAnsi="仿宋" w:eastAsia="仿宋"/>
          <w:color w:val="auto"/>
          <w:sz w:val="32"/>
          <w:szCs w:val="32"/>
          <w:u w:val="none"/>
          <w:lang w:eastAsia="zh-CN"/>
        </w:rPr>
      </w:pPr>
      <w:r>
        <w:rPr>
          <w:rStyle w:val="6"/>
          <w:rFonts w:hint="eastAsia" w:ascii="仿宋" w:hAnsi="仿宋" w:eastAsia="仿宋"/>
          <w:color w:val="auto"/>
          <w:sz w:val="32"/>
          <w:szCs w:val="32"/>
          <w:u w:val="none"/>
          <w:lang w:eastAsia="zh-CN"/>
        </w:rPr>
        <w:t>（四）其他需要说明事项（无）</w:t>
      </w:r>
    </w:p>
    <w:p>
      <w:pPr>
        <w:numPr>
          <w:ilvl w:val="0"/>
          <w:numId w:val="2"/>
        </w:numPr>
        <w:shd w:val="solid" w:color="FFFFFF" w:fill="auto"/>
        <w:autoSpaceDN w:val="0"/>
        <w:spacing w:line="560" w:lineRule="atLeast"/>
        <w:ind w:left="0" w:leftChars="0" w:firstLine="640" w:firstLineChars="0"/>
        <w:rPr>
          <w:rStyle w:val="6"/>
          <w:rFonts w:hint="eastAsia" w:ascii="仿宋" w:hAnsi="仿宋" w:eastAsia="仿宋"/>
          <w:b/>
          <w:bCs/>
          <w:color w:val="auto"/>
          <w:sz w:val="32"/>
          <w:szCs w:val="32"/>
          <w:u w:val="none"/>
          <w:lang w:val="en-US" w:eastAsia="zh-CN"/>
        </w:rPr>
      </w:pPr>
      <w:r>
        <w:rPr>
          <w:rStyle w:val="6"/>
          <w:rFonts w:hint="eastAsia" w:ascii="仿宋" w:hAnsi="仿宋" w:eastAsia="仿宋"/>
          <w:b/>
          <w:bCs/>
          <w:color w:val="auto"/>
          <w:sz w:val="32"/>
          <w:szCs w:val="32"/>
          <w:u w:val="none"/>
          <w:lang w:val="en-US" w:eastAsia="zh-CN"/>
        </w:rPr>
        <w:t>结论</w:t>
      </w:r>
    </w:p>
    <w:p>
      <w:pPr>
        <w:numPr>
          <w:ilvl w:val="0"/>
          <w:numId w:val="4"/>
        </w:numPr>
        <w:shd w:val="solid" w:color="FFFFFF" w:fill="auto"/>
        <w:tabs>
          <w:tab w:val="left" w:pos="891"/>
        </w:tabs>
        <w:autoSpaceDN w:val="0"/>
        <w:spacing w:line="560" w:lineRule="atLeast"/>
        <w:ind w:left="-10" w:leftChars="0" w:firstLine="640" w:firstLineChars="0"/>
        <w:rPr>
          <w:rStyle w:val="6"/>
          <w:rFonts w:hint="eastAsia" w:ascii="仿宋" w:hAnsi="仿宋" w:eastAsia="仿宋"/>
          <w:b w:val="0"/>
          <w:bCs w:val="0"/>
          <w:color w:val="auto"/>
          <w:sz w:val="32"/>
          <w:szCs w:val="32"/>
          <w:u w:val="none"/>
          <w:lang w:val="en-US" w:eastAsia="zh-CN"/>
        </w:rPr>
      </w:pPr>
      <w:r>
        <w:rPr>
          <w:rStyle w:val="6"/>
          <w:rFonts w:hint="eastAsia" w:ascii="仿宋" w:hAnsi="仿宋" w:eastAsia="仿宋"/>
          <w:b w:val="0"/>
          <w:bCs w:val="0"/>
          <w:color w:val="auto"/>
          <w:sz w:val="32"/>
          <w:szCs w:val="32"/>
          <w:u w:val="none"/>
          <w:lang w:val="en-US" w:eastAsia="zh-CN"/>
        </w:rPr>
        <w:t>主要指情况及结论</w:t>
      </w:r>
    </w:p>
    <w:p>
      <w:pPr>
        <w:numPr>
          <w:ilvl w:val="0"/>
          <w:numId w:val="0"/>
        </w:numPr>
        <w:shd w:val="solid" w:color="FFFFFF" w:fill="auto"/>
        <w:tabs>
          <w:tab w:val="left" w:pos="891"/>
        </w:tabs>
        <w:autoSpaceDN w:val="0"/>
        <w:spacing w:line="560" w:lineRule="atLeast"/>
        <w:rPr>
          <w:rStyle w:val="6"/>
          <w:rFonts w:hint="default" w:ascii="仿宋" w:hAnsi="仿宋" w:eastAsia="仿宋"/>
          <w:b w:val="0"/>
          <w:bCs w:val="0"/>
          <w:color w:val="auto"/>
          <w:sz w:val="32"/>
          <w:szCs w:val="32"/>
          <w:u w:val="none"/>
          <w:lang w:val="en-US" w:eastAsia="zh-CN"/>
        </w:rPr>
      </w:pPr>
    </w:p>
    <w:p>
      <w:pPr>
        <w:pStyle w:val="7"/>
        <w:numPr>
          <w:ilvl w:val="0"/>
          <w:numId w:val="0"/>
        </w:numPr>
        <w:ind w:firstLine="640" w:firstLineChars="20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lang w:val="en-US" w:eastAsia="zh-CN"/>
        </w:rPr>
        <w:t>（二）主要经验及做法</w:t>
      </w:r>
    </w:p>
    <w:p>
      <w:pPr>
        <w:pStyle w:val="7"/>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结合往年工作中的经验和不足，</w:t>
      </w:r>
      <w:r>
        <w:rPr>
          <w:rFonts w:hint="eastAsia" w:ascii="仿宋" w:hAnsi="仿宋" w:eastAsia="仿宋" w:cs="仿宋"/>
          <w:sz w:val="32"/>
          <w:szCs w:val="32"/>
          <w:lang w:val="en-US" w:eastAsia="zh-CN"/>
        </w:rPr>
        <w:t>2021年财务工作上加大力度，在账务系统中设立专项资金科目，采取专款支出记入专项资金科目，设立手工明细账本，按每个专项支出分细记账。使每笔专项资金去向账目清晰。</w:t>
      </w:r>
    </w:p>
    <w:p>
      <w:pPr>
        <w:shd w:val="solid" w:color="FFFFFF" w:fill="auto"/>
        <w:autoSpaceDN w:val="0"/>
        <w:spacing w:line="560" w:lineRule="atLeast"/>
        <w:ind w:firstLine="640" w:firstLineChars="200"/>
        <w:rPr>
          <w:rStyle w:val="6"/>
          <w:rFonts w:ascii="仿宋" w:hAnsi="仿宋" w:eastAsia="仿宋"/>
          <w:b/>
          <w:bCs/>
          <w:color w:val="auto"/>
          <w:sz w:val="32"/>
          <w:szCs w:val="32"/>
          <w:u w:val="none"/>
        </w:rPr>
      </w:pPr>
      <w:r>
        <w:rPr>
          <w:rStyle w:val="6"/>
          <w:rFonts w:hint="eastAsia" w:ascii="仿宋" w:hAnsi="仿宋" w:eastAsia="仿宋"/>
          <w:color w:val="auto"/>
          <w:sz w:val="32"/>
          <w:szCs w:val="32"/>
          <w:u w:val="none"/>
          <w:lang w:val="en-US" w:eastAsia="zh-CN"/>
        </w:rPr>
        <w:t>（三）</w:t>
      </w:r>
      <w:r>
        <w:rPr>
          <w:rStyle w:val="6"/>
          <w:rFonts w:hint="eastAsia" w:ascii="仿宋" w:hAnsi="仿宋" w:eastAsia="仿宋"/>
          <w:b w:val="0"/>
          <w:bCs w:val="0"/>
          <w:color w:val="auto"/>
          <w:sz w:val="32"/>
          <w:szCs w:val="32"/>
          <w:u w:val="none"/>
        </w:rPr>
        <w:t>存在的主要问题</w:t>
      </w:r>
    </w:p>
    <w:p>
      <w:pPr>
        <w:shd w:val="solid" w:color="FFFFFF" w:fill="auto"/>
        <w:autoSpaceDN w:val="0"/>
        <w:spacing w:line="560" w:lineRule="atLeast"/>
        <w:ind w:firstLine="640"/>
        <w:rPr>
          <w:rStyle w:val="6"/>
          <w:rFonts w:ascii="仿宋" w:hAnsi="仿宋" w:eastAsia="仿宋" w:cs="Times New Roman"/>
          <w:color w:val="auto"/>
          <w:kern w:val="2"/>
          <w:sz w:val="32"/>
          <w:szCs w:val="32"/>
          <w:u w:val="none"/>
        </w:rPr>
      </w:pPr>
      <w:r>
        <w:rPr>
          <w:rFonts w:hint="eastAsia" w:ascii="仿宋" w:hAnsi="仿宋" w:eastAsia="仿宋" w:cs="仿宋"/>
          <w:sz w:val="32"/>
          <w:szCs w:val="32"/>
          <w:lang w:val="en-US" w:eastAsia="zh-CN"/>
        </w:rPr>
        <w:t>近几年来省里</w:t>
      </w:r>
      <w:r>
        <w:rPr>
          <w:rFonts w:hint="eastAsia" w:ascii="仿宋" w:hAnsi="仿宋" w:eastAsia="仿宋" w:cs="仿宋"/>
          <w:sz w:val="32"/>
          <w:szCs w:val="32"/>
        </w:rPr>
        <w:t>配套</w:t>
      </w:r>
      <w:r>
        <w:rPr>
          <w:rFonts w:hint="eastAsia" w:ascii="仿宋" w:hAnsi="仿宋" w:eastAsia="仿宋" w:cs="仿宋"/>
          <w:sz w:val="32"/>
          <w:szCs w:val="32"/>
          <w:lang w:val="en-US" w:eastAsia="zh-CN"/>
        </w:rPr>
        <w:t>经费补助越来越少，项目工作却越来越细化，任务越来越重，因经费不足各个项目工作在实施过程中难以开展，经费拔付不及时，加之县财政工作经费补助力度不够，项目</w:t>
      </w:r>
      <w:r>
        <w:rPr>
          <w:rFonts w:hint="eastAsia" w:ascii="仿宋" w:hAnsi="仿宋" w:eastAsia="仿宋" w:cs="仿宋"/>
          <w:sz w:val="32"/>
          <w:szCs w:val="32"/>
        </w:rPr>
        <w:t>配套</w:t>
      </w:r>
      <w:r>
        <w:rPr>
          <w:rFonts w:hint="eastAsia" w:ascii="仿宋" w:hAnsi="仿宋" w:eastAsia="仿宋" w:cs="仿宋"/>
          <w:sz w:val="32"/>
          <w:szCs w:val="32"/>
          <w:lang w:val="en-US" w:eastAsia="zh-CN"/>
        </w:rPr>
        <w:t>经费少，单位正常整体动行较困难。</w:t>
      </w:r>
    </w:p>
    <w:p>
      <w:pPr>
        <w:numPr>
          <w:ilvl w:val="0"/>
          <w:numId w:val="0"/>
        </w:numPr>
        <w:shd w:val="solid" w:color="FFFFFF" w:fill="auto"/>
        <w:autoSpaceDN w:val="0"/>
        <w:spacing w:line="560" w:lineRule="atLeast"/>
        <w:ind w:left="640" w:leftChars="0"/>
        <w:rPr>
          <w:rStyle w:val="6"/>
          <w:rFonts w:hint="eastAsia" w:ascii="仿宋" w:hAnsi="仿宋" w:eastAsia="仿宋"/>
          <w:color w:val="auto"/>
          <w:sz w:val="32"/>
          <w:szCs w:val="32"/>
          <w:u w:val="none"/>
          <w:lang w:val="en-US" w:eastAsia="zh-CN"/>
        </w:rPr>
      </w:pPr>
      <w:r>
        <w:rPr>
          <w:rStyle w:val="6"/>
          <w:rFonts w:hint="eastAsia" w:ascii="仿宋" w:hAnsi="仿宋" w:eastAsia="仿宋"/>
          <w:color w:val="auto"/>
          <w:sz w:val="32"/>
          <w:szCs w:val="32"/>
          <w:u w:val="none"/>
          <w:lang w:val="en-US" w:eastAsia="zh-CN"/>
        </w:rPr>
        <w:t>（四）工作建议</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1、加大专项资金的投入力度。</w:t>
      </w:r>
    </w:p>
    <w:p>
      <w:pPr>
        <w:shd w:val="clear" w:color="auto" w:fill="FFFFFF"/>
        <w:snapToGrid w:val="0"/>
        <w:spacing w:line="360" w:lineRule="auto"/>
        <w:ind w:firstLine="573"/>
        <w:jc w:val="left"/>
        <w:outlineLvl w:val="0"/>
        <w:rPr>
          <w:rFonts w:hint="eastAsia" w:ascii="仿宋" w:hAnsi="仿宋" w:eastAsia="仿宋" w:cs="仿宋"/>
          <w:sz w:val="30"/>
          <w:szCs w:val="30"/>
        </w:rPr>
      </w:pPr>
      <w:r>
        <w:rPr>
          <w:rFonts w:hint="eastAsia" w:ascii="仿宋" w:hAnsi="仿宋" w:eastAsia="仿宋" w:cs="仿宋"/>
          <w:sz w:val="30"/>
          <w:szCs w:val="30"/>
        </w:rPr>
        <w:t>2、整合部分专项资金，加大特定项目的投入，发挥资金使用效率。</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加快专项资金的拨付、使用进度。</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4、对有关专项资金的配套出台硬性的政策。</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5、进一步加强专项资金的管理，明确使用范围、标准和监督。</w:t>
      </w:r>
    </w:p>
    <w:p>
      <w:pPr>
        <w:shd w:val="clear" w:color="auto" w:fill="FFFFFF"/>
        <w:snapToGrid w:val="0"/>
        <w:spacing w:line="360" w:lineRule="auto"/>
        <w:ind w:firstLine="600" w:firstLineChars="200"/>
        <w:jc w:val="left"/>
        <w:outlineLvl w:val="0"/>
        <w:rPr>
          <w:rFonts w:hint="eastAsia" w:ascii="仿宋" w:hAnsi="仿宋" w:eastAsia="仿宋" w:cs="仿宋"/>
          <w:sz w:val="30"/>
          <w:szCs w:val="30"/>
        </w:rPr>
      </w:pPr>
      <w:r>
        <w:rPr>
          <w:rFonts w:hint="eastAsia" w:ascii="仿宋" w:hAnsi="仿宋" w:eastAsia="仿宋" w:cs="仿宋"/>
          <w:sz w:val="30"/>
          <w:szCs w:val="30"/>
        </w:rPr>
        <w:t>6、加大基层医疗机构的人、财、物的投入力度。及时拨付我中心的公卫专项资金。</w:t>
      </w:r>
    </w:p>
    <w:p>
      <w:pPr>
        <w:shd w:val="clear" w:color="auto" w:fill="FFFFFF"/>
        <w:snapToGrid w:val="0"/>
        <w:spacing w:line="360" w:lineRule="auto"/>
        <w:ind w:firstLine="900" w:firstLineChars="300"/>
        <w:jc w:val="left"/>
        <w:outlineLvl w:val="0"/>
        <w:rPr>
          <w:rFonts w:hint="eastAsia" w:ascii="仿宋" w:hAnsi="仿宋" w:eastAsia="仿宋" w:cs="仿宋"/>
          <w:sz w:val="30"/>
          <w:szCs w:val="30"/>
          <w:lang w:eastAsia="zh-CN"/>
        </w:rPr>
      </w:pPr>
    </w:p>
    <w:p>
      <w:pPr>
        <w:shd w:val="clear" w:color="auto" w:fill="FFFFFF"/>
        <w:snapToGrid w:val="0"/>
        <w:spacing w:line="360" w:lineRule="auto"/>
        <w:ind w:firstLine="3900" w:firstLineChars="1300"/>
        <w:jc w:val="left"/>
        <w:outlineLvl w:val="0"/>
        <w:rPr>
          <w:rFonts w:hint="eastAsia" w:ascii="仿宋" w:hAnsi="仿宋" w:eastAsia="仿宋" w:cs="仿宋"/>
          <w:sz w:val="30"/>
          <w:szCs w:val="30"/>
          <w:lang w:eastAsia="zh-CN"/>
        </w:rPr>
      </w:pPr>
      <w:r>
        <w:rPr>
          <w:rFonts w:hint="eastAsia" w:ascii="仿宋" w:hAnsi="仿宋" w:eastAsia="仿宋" w:cs="仿宋"/>
          <w:sz w:val="30"/>
          <w:szCs w:val="30"/>
          <w:lang w:eastAsia="zh-CN"/>
        </w:rPr>
        <w:t>绥宁县疾病预防控制中心</w:t>
      </w:r>
    </w:p>
    <w:p>
      <w:pPr>
        <w:shd w:val="clear" w:color="auto" w:fill="FFFFFF"/>
        <w:snapToGrid w:val="0"/>
        <w:spacing w:line="360" w:lineRule="auto"/>
        <w:ind w:firstLine="4200" w:firstLineChars="1400"/>
        <w:jc w:val="left"/>
        <w:outlineLvl w:val="0"/>
        <w:rPr>
          <w:rFonts w:hint="eastAsia" w:ascii="仿宋" w:hAnsi="仿宋" w:eastAsia="仿宋" w:cs="仿宋"/>
          <w:sz w:val="32"/>
          <w:szCs w:val="32"/>
          <w:lang w:val="en-US" w:eastAsia="zh-CN"/>
        </w:rPr>
      </w:pPr>
      <w:r>
        <w:rPr>
          <w:rFonts w:hint="eastAsia" w:ascii="仿宋" w:hAnsi="仿宋" w:eastAsia="仿宋" w:cs="仿宋"/>
          <w:sz w:val="30"/>
          <w:szCs w:val="30"/>
          <w:lang w:val="en-US" w:eastAsia="zh-CN"/>
        </w:rPr>
        <w:t>2022年3月7日</w:t>
      </w: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rPr>
          <w:color w:val="000000"/>
          <w:sz w:val="32"/>
        </w:rPr>
      </w:pPr>
    </w:p>
    <w:p>
      <w:pPr>
        <w:spacing w:line="457" w:lineRule="exact"/>
        <w:ind w:firstLine="0"/>
        <w:jc w:val="both"/>
      </w:pPr>
      <w:bookmarkStart w:id="0" w:name="_GoBack"/>
      <w:bookmarkEnd w:id="0"/>
      <w:r>
        <w:rPr>
          <w:color w:val="000000"/>
          <w:sz w:val="32"/>
        </w:rPr>
        <w:t>附件2</w:t>
      </w:r>
    </w:p>
    <w:p>
      <w:pPr>
        <w:spacing w:line="371" w:lineRule="exact"/>
        <w:jc w:val="center"/>
      </w:pPr>
      <w:r>
        <w:rPr>
          <w:rFonts w:hint="eastAsia"/>
          <w:color w:val="000000"/>
          <w:sz w:val="26"/>
          <w:lang w:eastAsia="zh-CN"/>
        </w:rPr>
        <w:t>中央</w:t>
      </w:r>
      <w:r>
        <w:rPr>
          <w:color w:val="000000"/>
          <w:sz w:val="26"/>
        </w:rPr>
        <w:t>转移支付</w:t>
      </w:r>
      <w:r>
        <w:rPr>
          <w:rFonts w:hint="eastAsia"/>
          <w:color w:val="000000"/>
          <w:sz w:val="26"/>
          <w:lang w:eastAsia="zh-CN"/>
        </w:rPr>
        <w:t>绥宁县疾控中心</w:t>
      </w:r>
      <w:r>
        <w:rPr>
          <w:color w:val="000000"/>
          <w:sz w:val="26"/>
        </w:rPr>
        <w:t>（</w:t>
      </w:r>
      <w:r>
        <w:rPr>
          <w:rFonts w:hint="eastAsia"/>
          <w:color w:val="000000"/>
          <w:sz w:val="26"/>
          <w:lang w:eastAsia="zh-CN"/>
        </w:rPr>
        <w:t>重大传染病防控</w:t>
      </w:r>
      <w:r>
        <w:rPr>
          <w:color w:val="000000"/>
          <w:sz w:val="26"/>
        </w:rPr>
        <w:t>项目）绩效目标自评表</w:t>
      </w:r>
    </w:p>
    <w:p>
      <w:pPr>
        <w:spacing w:line="286" w:lineRule="exact"/>
        <w:ind w:firstLine="3880"/>
        <w:jc w:val="both"/>
      </w:pPr>
      <w:r>
        <w:rPr>
          <w:color w:val="000000"/>
          <w:sz w:val="20"/>
        </w:rPr>
        <w:t>（2021年度）</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422"/>
        <w:gridCol w:w="402"/>
        <w:gridCol w:w="1064"/>
        <w:gridCol w:w="1538"/>
        <w:gridCol w:w="855"/>
        <w:gridCol w:w="1524"/>
        <w:gridCol w:w="869"/>
        <w:gridCol w:w="1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0" w:hRule="atLeast"/>
        </w:trPr>
        <w:tc>
          <w:tcPr>
            <w:tcW w:w="1960" w:type="dxa"/>
            <w:gridSpan w:val="3"/>
            <w:vAlign w:val="center"/>
          </w:tcPr>
          <w:p>
            <w:pPr>
              <w:spacing w:line="190" w:lineRule="exact"/>
              <w:jc w:val="center"/>
              <w:rPr>
                <w:sz w:val="18"/>
                <w:szCs w:val="18"/>
              </w:rPr>
            </w:pPr>
            <w:r>
              <w:rPr>
                <w:rFonts w:hint="eastAsia" w:ascii="宋体" w:hAnsi="宋体" w:eastAsia="宋体"/>
                <w:color w:val="000000"/>
                <w:sz w:val="18"/>
                <w:szCs w:val="18"/>
              </w:rPr>
              <w:t>转移支付（项目）名称</w:t>
            </w:r>
          </w:p>
        </w:tc>
        <w:tc>
          <w:tcPr>
            <w:tcW w:w="6800" w:type="dxa"/>
            <w:gridSpan w:val="5"/>
            <w:vAlign w:val="center"/>
          </w:tcPr>
          <w:p>
            <w:pPr>
              <w:rPr>
                <w:rFonts w:hint="eastAsia" w:eastAsiaTheme="minorEastAsia"/>
                <w:sz w:val="18"/>
                <w:szCs w:val="18"/>
                <w:lang w:eastAsia="zh-CN"/>
              </w:rPr>
            </w:pPr>
            <w:r>
              <w:rPr>
                <w:rFonts w:hint="eastAsia"/>
                <w:sz w:val="18"/>
                <w:szCs w:val="18"/>
                <w:lang w:eastAsia="zh-CN"/>
              </w:rPr>
              <w:t>尘肺病防治、免疫规划、艾滋病防治、结核病防治、精神卫生和慢性病防治、新冠肺炎防控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1960" w:type="dxa"/>
            <w:gridSpan w:val="3"/>
            <w:vAlign w:val="center"/>
          </w:tcPr>
          <w:p>
            <w:pPr>
              <w:spacing w:line="205" w:lineRule="exact"/>
              <w:jc w:val="center"/>
              <w:rPr>
                <w:sz w:val="18"/>
                <w:szCs w:val="18"/>
              </w:rPr>
            </w:pPr>
            <w:r>
              <w:rPr>
                <w:rFonts w:hint="eastAsia" w:ascii="宋体" w:hAnsi="宋体" w:eastAsia="宋体"/>
                <w:color w:val="000000"/>
                <w:sz w:val="18"/>
                <w:szCs w:val="18"/>
              </w:rPr>
              <w:t>中央主管部门</w:t>
            </w:r>
          </w:p>
        </w:tc>
        <w:tc>
          <w:tcPr>
            <w:tcW w:w="6800" w:type="dxa"/>
            <w:gridSpan w:val="5"/>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1960" w:type="dxa"/>
            <w:gridSpan w:val="3"/>
            <w:vAlign w:val="center"/>
          </w:tcPr>
          <w:p>
            <w:pPr>
              <w:spacing w:line="190" w:lineRule="exact"/>
              <w:jc w:val="center"/>
              <w:rPr>
                <w:sz w:val="18"/>
                <w:szCs w:val="18"/>
              </w:rPr>
            </w:pPr>
            <w:r>
              <w:rPr>
                <w:rFonts w:hint="eastAsia" w:ascii="宋体" w:hAnsi="宋体" w:eastAsia="宋体"/>
                <w:color w:val="000000"/>
                <w:sz w:val="18"/>
                <w:szCs w:val="18"/>
              </w:rPr>
              <w:t>地方主管部门</w:t>
            </w:r>
          </w:p>
        </w:tc>
        <w:tc>
          <w:tcPr>
            <w:tcW w:w="2528" w:type="dxa"/>
            <w:gridSpan w:val="2"/>
            <w:vAlign w:val="center"/>
          </w:tcPr>
          <w:p>
            <w:pPr>
              <w:rPr>
                <w:rFonts w:hint="eastAsia" w:eastAsiaTheme="minorEastAsia"/>
                <w:sz w:val="18"/>
                <w:szCs w:val="18"/>
                <w:lang w:eastAsia="zh-CN"/>
              </w:rPr>
            </w:pPr>
            <w:r>
              <w:rPr>
                <w:rFonts w:hint="eastAsia"/>
                <w:sz w:val="18"/>
                <w:szCs w:val="18"/>
                <w:lang w:eastAsia="zh-CN"/>
              </w:rPr>
              <w:t>绥宁县卫生健康局</w:t>
            </w:r>
          </w:p>
        </w:tc>
        <w:tc>
          <w:tcPr>
            <w:tcW w:w="1612" w:type="dxa"/>
            <w:vAlign w:val="bottom"/>
          </w:tcPr>
          <w:p>
            <w:pPr>
              <w:spacing w:line="205" w:lineRule="exact"/>
              <w:jc w:val="center"/>
              <w:rPr>
                <w:sz w:val="18"/>
                <w:szCs w:val="18"/>
              </w:rPr>
            </w:pPr>
            <w:r>
              <w:rPr>
                <w:rFonts w:hint="eastAsia" w:ascii="宋体" w:hAnsi="宋体" w:eastAsia="宋体"/>
                <w:color w:val="000000"/>
                <w:sz w:val="18"/>
                <w:szCs w:val="18"/>
              </w:rPr>
              <w:t>资金使用单位</w:t>
            </w:r>
          </w:p>
        </w:tc>
        <w:tc>
          <w:tcPr>
            <w:tcW w:w="2660" w:type="dxa"/>
            <w:gridSpan w:val="2"/>
            <w:vAlign w:val="center"/>
          </w:tcPr>
          <w:p>
            <w:pPr>
              <w:rPr>
                <w:rFonts w:hint="eastAsia" w:eastAsiaTheme="minorEastAsia"/>
                <w:sz w:val="18"/>
                <w:szCs w:val="18"/>
                <w:lang w:eastAsia="zh-CN"/>
              </w:rPr>
            </w:pPr>
            <w:r>
              <w:rPr>
                <w:rFonts w:hint="eastAsia"/>
                <w:sz w:val="18"/>
                <w:szCs w:val="18"/>
                <w:lang w:eastAsia="zh-CN"/>
              </w:rPr>
              <w:t>绥宁县疾病预防控制中心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1960" w:type="dxa"/>
            <w:gridSpan w:val="3"/>
            <w:vMerge w:val="restart"/>
            <w:vAlign w:val="top"/>
          </w:tcPr>
          <w:p>
            <w:pPr>
              <w:spacing w:before="476" w:line="146" w:lineRule="exact"/>
              <w:jc w:val="center"/>
              <w:rPr>
                <w:sz w:val="18"/>
                <w:szCs w:val="18"/>
              </w:rPr>
            </w:pPr>
            <w:r>
              <w:rPr>
                <w:rFonts w:hint="eastAsia" w:ascii="宋体" w:hAnsi="宋体" w:eastAsia="宋体"/>
                <w:color w:val="000000"/>
                <w:sz w:val="18"/>
                <w:szCs w:val="18"/>
              </w:rPr>
              <w:t>资金情况</w:t>
            </w:r>
          </w:p>
          <w:p>
            <w:pPr>
              <w:spacing w:line="155" w:lineRule="exact"/>
              <w:jc w:val="center"/>
              <w:rPr>
                <w:sz w:val="18"/>
                <w:szCs w:val="18"/>
              </w:rPr>
            </w:pPr>
            <w:r>
              <w:rPr>
                <w:rFonts w:hint="eastAsia" w:ascii="宋体" w:hAnsi="宋体" w:eastAsia="宋体"/>
                <w:color w:val="000000"/>
                <w:sz w:val="18"/>
                <w:szCs w:val="18"/>
              </w:rPr>
              <w:t>（万元）</w:t>
            </w:r>
          </w:p>
        </w:tc>
        <w:tc>
          <w:tcPr>
            <w:tcW w:w="1640" w:type="dxa"/>
            <w:vAlign w:val="center"/>
          </w:tcPr>
          <w:p>
            <w:pPr>
              <w:rPr>
                <w:sz w:val="18"/>
                <w:szCs w:val="18"/>
              </w:rPr>
            </w:pPr>
          </w:p>
        </w:tc>
        <w:tc>
          <w:tcPr>
            <w:tcW w:w="888" w:type="dxa"/>
            <w:vAlign w:val="bottom"/>
          </w:tcPr>
          <w:p>
            <w:pPr>
              <w:spacing w:line="202" w:lineRule="exact"/>
              <w:ind w:firstLine="0"/>
              <w:jc w:val="both"/>
              <w:rPr>
                <w:sz w:val="18"/>
                <w:szCs w:val="18"/>
              </w:rPr>
            </w:pPr>
            <w:r>
              <w:rPr>
                <w:rFonts w:hint="eastAsia" w:ascii="宋体" w:hAnsi="宋体" w:eastAsia="宋体"/>
                <w:color w:val="000000"/>
                <w:sz w:val="18"/>
                <w:szCs w:val="18"/>
              </w:rPr>
              <w:t>全年预算数（A）</w:t>
            </w:r>
          </w:p>
        </w:tc>
        <w:tc>
          <w:tcPr>
            <w:tcW w:w="2512" w:type="dxa"/>
            <w:gridSpan w:val="2"/>
            <w:vAlign w:val="bottom"/>
          </w:tcPr>
          <w:p>
            <w:pPr>
              <w:spacing w:line="201" w:lineRule="exact"/>
              <w:jc w:val="center"/>
              <w:rPr>
                <w:sz w:val="18"/>
                <w:szCs w:val="18"/>
              </w:rPr>
            </w:pPr>
            <w:r>
              <w:rPr>
                <w:rFonts w:hint="eastAsia" w:ascii="宋体" w:hAnsi="宋体" w:eastAsia="宋体"/>
                <w:color w:val="000000"/>
                <w:sz w:val="18"/>
                <w:szCs w:val="18"/>
              </w:rPr>
              <w:t>全年执行数（B）</w:t>
            </w:r>
          </w:p>
        </w:tc>
        <w:tc>
          <w:tcPr>
            <w:tcW w:w="1760" w:type="dxa"/>
            <w:vAlign w:val="center"/>
          </w:tcPr>
          <w:p>
            <w:pPr>
              <w:spacing w:line="240" w:lineRule="exact"/>
              <w:jc w:val="center"/>
              <w:rPr>
                <w:sz w:val="18"/>
                <w:szCs w:val="18"/>
              </w:rPr>
            </w:pPr>
            <w:r>
              <w:rPr>
                <w:rFonts w:hint="eastAsia" w:ascii="宋体" w:hAnsi="宋体" w:eastAsia="宋体"/>
                <w:color w:val="000000"/>
                <w:sz w:val="18"/>
                <w:szCs w:val="18"/>
              </w:rPr>
              <w:t>预算执行率（B／A）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1960" w:type="dxa"/>
            <w:gridSpan w:val="3"/>
            <w:vMerge w:val="continue"/>
          </w:tcPr>
          <w:p>
            <w:pPr>
              <w:rPr>
                <w:sz w:val="18"/>
                <w:szCs w:val="18"/>
              </w:rPr>
            </w:pPr>
          </w:p>
        </w:tc>
        <w:tc>
          <w:tcPr>
            <w:tcW w:w="1640" w:type="dxa"/>
            <w:vAlign w:val="center"/>
          </w:tcPr>
          <w:p>
            <w:pPr>
              <w:spacing w:line="190" w:lineRule="exact"/>
              <w:ind w:firstLine="0"/>
              <w:jc w:val="both"/>
              <w:rPr>
                <w:sz w:val="18"/>
                <w:szCs w:val="18"/>
              </w:rPr>
            </w:pPr>
            <w:r>
              <w:rPr>
                <w:rFonts w:hint="eastAsia" w:ascii="宋体" w:hAnsi="宋体" w:eastAsia="宋体"/>
                <w:color w:val="000000"/>
                <w:sz w:val="18"/>
                <w:szCs w:val="18"/>
              </w:rPr>
              <w:t>年度资金总额：</w:t>
            </w:r>
          </w:p>
        </w:tc>
        <w:tc>
          <w:tcPr>
            <w:tcW w:w="888" w:type="dxa"/>
            <w:vAlign w:val="center"/>
          </w:tcPr>
          <w:p>
            <w:pPr>
              <w:rPr>
                <w:rFonts w:hint="default" w:eastAsiaTheme="minorEastAsia"/>
                <w:sz w:val="18"/>
                <w:szCs w:val="18"/>
                <w:lang w:val="en-US" w:eastAsia="zh-CN"/>
              </w:rPr>
            </w:pPr>
            <w:r>
              <w:rPr>
                <w:rFonts w:hint="eastAsia"/>
                <w:sz w:val="18"/>
                <w:szCs w:val="18"/>
                <w:lang w:val="en-US" w:eastAsia="zh-CN"/>
              </w:rPr>
              <w:t>111..3</w:t>
            </w:r>
          </w:p>
        </w:tc>
        <w:tc>
          <w:tcPr>
            <w:tcW w:w="2512" w:type="dxa"/>
            <w:gridSpan w:val="2"/>
            <w:vAlign w:val="center"/>
          </w:tcPr>
          <w:p>
            <w:pPr>
              <w:rPr>
                <w:rFonts w:hint="default" w:eastAsiaTheme="minorEastAsia"/>
                <w:sz w:val="18"/>
                <w:szCs w:val="18"/>
                <w:lang w:val="en-US" w:eastAsia="zh-CN"/>
              </w:rPr>
            </w:pPr>
            <w:r>
              <w:rPr>
                <w:rFonts w:hint="eastAsia"/>
                <w:sz w:val="18"/>
                <w:szCs w:val="18"/>
                <w:lang w:val="en-US" w:eastAsia="zh-CN"/>
              </w:rPr>
              <w:t>111.3</w:t>
            </w:r>
          </w:p>
        </w:tc>
        <w:tc>
          <w:tcPr>
            <w:tcW w:w="1760" w:type="dxa"/>
            <w:vAlign w:val="center"/>
          </w:tcPr>
          <w:p>
            <w:pPr>
              <w:rPr>
                <w:rFonts w:hint="default" w:eastAsiaTheme="minorEastAsia"/>
                <w:sz w:val="18"/>
                <w:szCs w:val="18"/>
                <w:lang w:val="en-US" w:eastAsia="zh-CN"/>
              </w:rPr>
            </w:pPr>
            <w:r>
              <w:rPr>
                <w:rFonts w:hint="eastAsia"/>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1960" w:type="dxa"/>
            <w:gridSpan w:val="3"/>
            <w:vMerge w:val="continue"/>
          </w:tcPr>
          <w:p>
            <w:pPr>
              <w:rPr>
                <w:sz w:val="18"/>
                <w:szCs w:val="18"/>
              </w:rPr>
            </w:pPr>
          </w:p>
        </w:tc>
        <w:tc>
          <w:tcPr>
            <w:tcW w:w="1640" w:type="dxa"/>
            <w:vAlign w:val="center"/>
          </w:tcPr>
          <w:p>
            <w:pPr>
              <w:spacing w:line="196" w:lineRule="exact"/>
              <w:jc w:val="center"/>
              <w:rPr>
                <w:sz w:val="18"/>
                <w:szCs w:val="18"/>
              </w:rPr>
            </w:pPr>
            <w:r>
              <w:rPr>
                <w:rFonts w:hint="eastAsia" w:ascii="宋体" w:hAnsi="宋体" w:eastAsia="宋体"/>
                <w:color w:val="000000"/>
                <w:sz w:val="18"/>
                <w:szCs w:val="18"/>
              </w:rPr>
              <w:t>其中：中央财政资金</w:t>
            </w:r>
          </w:p>
        </w:tc>
        <w:tc>
          <w:tcPr>
            <w:tcW w:w="888" w:type="dxa"/>
            <w:vAlign w:val="center"/>
          </w:tcPr>
          <w:p>
            <w:pPr>
              <w:rPr>
                <w:rFonts w:hint="default" w:eastAsiaTheme="minorEastAsia"/>
                <w:sz w:val="18"/>
                <w:szCs w:val="18"/>
                <w:lang w:val="en-US" w:eastAsia="zh-CN"/>
              </w:rPr>
            </w:pPr>
            <w:r>
              <w:rPr>
                <w:rFonts w:hint="eastAsia"/>
                <w:sz w:val="18"/>
                <w:szCs w:val="18"/>
                <w:lang w:val="en-US" w:eastAsia="zh-CN"/>
              </w:rPr>
              <w:t>111.3</w:t>
            </w:r>
          </w:p>
        </w:tc>
        <w:tc>
          <w:tcPr>
            <w:tcW w:w="2512" w:type="dxa"/>
            <w:gridSpan w:val="2"/>
            <w:vAlign w:val="center"/>
          </w:tcPr>
          <w:p>
            <w:pPr>
              <w:rPr>
                <w:rFonts w:hint="default" w:eastAsiaTheme="minorEastAsia"/>
                <w:sz w:val="18"/>
                <w:szCs w:val="18"/>
                <w:lang w:val="en-US" w:eastAsia="zh-CN"/>
              </w:rPr>
            </w:pPr>
            <w:r>
              <w:rPr>
                <w:rFonts w:hint="eastAsia"/>
                <w:sz w:val="18"/>
                <w:szCs w:val="18"/>
                <w:lang w:val="en-US" w:eastAsia="zh-CN"/>
              </w:rPr>
              <w:t>111.3</w:t>
            </w:r>
          </w:p>
        </w:tc>
        <w:tc>
          <w:tcPr>
            <w:tcW w:w="1760" w:type="dxa"/>
            <w:vAlign w:val="center"/>
          </w:tcPr>
          <w:p>
            <w:pPr>
              <w:rPr>
                <w:rFonts w:hint="default" w:eastAsiaTheme="minorEastAsia"/>
                <w:sz w:val="18"/>
                <w:szCs w:val="18"/>
                <w:lang w:val="en-US" w:eastAsia="zh-CN"/>
              </w:rPr>
            </w:pPr>
            <w:r>
              <w:rPr>
                <w:rFonts w:hint="eastAsia"/>
                <w:sz w:val="18"/>
                <w:szCs w:val="18"/>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1960" w:type="dxa"/>
            <w:gridSpan w:val="3"/>
            <w:vMerge w:val="continue"/>
          </w:tcPr>
          <w:p>
            <w:pPr>
              <w:rPr>
                <w:sz w:val="18"/>
                <w:szCs w:val="18"/>
              </w:rPr>
            </w:pPr>
          </w:p>
        </w:tc>
        <w:tc>
          <w:tcPr>
            <w:tcW w:w="1640" w:type="dxa"/>
            <w:vAlign w:val="center"/>
          </w:tcPr>
          <w:p>
            <w:pPr>
              <w:spacing w:line="190" w:lineRule="exact"/>
              <w:jc w:val="center"/>
              <w:rPr>
                <w:sz w:val="18"/>
                <w:szCs w:val="18"/>
              </w:rPr>
            </w:pPr>
            <w:r>
              <w:rPr>
                <w:rFonts w:hint="eastAsia" w:ascii="宋体" w:hAnsi="宋体" w:eastAsia="宋体"/>
                <w:color w:val="000000"/>
                <w:sz w:val="18"/>
                <w:szCs w:val="18"/>
              </w:rPr>
              <w:t>地方资金</w:t>
            </w:r>
          </w:p>
        </w:tc>
        <w:tc>
          <w:tcPr>
            <w:tcW w:w="888" w:type="dxa"/>
            <w:vAlign w:val="center"/>
          </w:tcPr>
          <w:p>
            <w:pPr>
              <w:rPr>
                <w:sz w:val="18"/>
                <w:szCs w:val="18"/>
              </w:rPr>
            </w:pPr>
          </w:p>
        </w:tc>
        <w:tc>
          <w:tcPr>
            <w:tcW w:w="2512" w:type="dxa"/>
            <w:gridSpan w:val="2"/>
            <w:vAlign w:val="bottom"/>
          </w:tcPr>
          <w:p>
            <w:pPr>
              <w:spacing w:line="160" w:lineRule="exact"/>
              <w:ind w:left="180" w:firstLine="0"/>
              <w:jc w:val="both"/>
              <w:rPr>
                <w:sz w:val="18"/>
                <w:szCs w:val="18"/>
              </w:rPr>
            </w:pPr>
            <w:r>
              <w:rPr>
                <w:rFonts w:hint="eastAsia" w:ascii="宋体" w:hAnsi="宋体" w:eastAsia="宋体"/>
                <w:color w:val="000000"/>
                <w:sz w:val="18"/>
                <w:szCs w:val="18"/>
              </w:rPr>
              <w:t>.</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60" w:hRule="atLeast"/>
        </w:trPr>
        <w:tc>
          <w:tcPr>
            <w:tcW w:w="1960" w:type="dxa"/>
            <w:gridSpan w:val="3"/>
            <w:vMerge w:val="continue"/>
          </w:tcPr>
          <w:p>
            <w:pPr>
              <w:rPr>
                <w:sz w:val="18"/>
                <w:szCs w:val="18"/>
              </w:rPr>
            </w:pPr>
          </w:p>
        </w:tc>
        <w:tc>
          <w:tcPr>
            <w:tcW w:w="1640" w:type="dxa"/>
            <w:vAlign w:val="center"/>
          </w:tcPr>
          <w:p>
            <w:pPr>
              <w:spacing w:line="183" w:lineRule="exact"/>
              <w:jc w:val="center"/>
              <w:rPr>
                <w:sz w:val="18"/>
                <w:szCs w:val="18"/>
              </w:rPr>
            </w:pPr>
            <w:r>
              <w:rPr>
                <w:rFonts w:hint="eastAsia" w:ascii="宋体" w:hAnsi="宋体" w:eastAsia="宋体"/>
                <w:color w:val="000000"/>
                <w:sz w:val="18"/>
                <w:szCs w:val="18"/>
              </w:rPr>
              <w:t>其他资金</w:t>
            </w:r>
          </w:p>
        </w:tc>
        <w:tc>
          <w:tcPr>
            <w:tcW w:w="888" w:type="dxa"/>
            <w:vAlign w:val="center"/>
          </w:tcPr>
          <w:p>
            <w:pPr>
              <w:rPr>
                <w:sz w:val="18"/>
                <w:szCs w:val="18"/>
              </w:rPr>
            </w:pPr>
          </w:p>
        </w:tc>
        <w:tc>
          <w:tcPr>
            <w:tcW w:w="2512" w:type="dxa"/>
            <w:gridSpan w:val="2"/>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440" w:type="dxa"/>
            <w:vMerge w:val="restart"/>
            <w:vAlign w:val="center"/>
          </w:tcPr>
          <w:p>
            <w:pPr>
              <w:spacing w:line="146" w:lineRule="exact"/>
              <w:jc w:val="center"/>
              <w:rPr>
                <w:sz w:val="18"/>
                <w:szCs w:val="18"/>
              </w:rPr>
            </w:pPr>
            <w:r>
              <w:rPr>
                <w:rFonts w:hint="eastAsia" w:ascii="宋体" w:hAnsi="宋体" w:eastAsia="宋体"/>
                <w:color w:val="000000"/>
                <w:sz w:val="18"/>
                <w:szCs w:val="18"/>
              </w:rPr>
              <w:t>总体</w:t>
            </w:r>
          </w:p>
          <w:p>
            <w:pPr>
              <w:spacing w:line="146" w:lineRule="exact"/>
              <w:ind w:left="20" w:firstLine="0"/>
              <w:jc w:val="right"/>
              <w:rPr>
                <w:sz w:val="18"/>
                <w:szCs w:val="18"/>
              </w:rPr>
            </w:pPr>
            <w:r>
              <w:rPr>
                <w:rFonts w:hint="eastAsia" w:ascii="宋体" w:hAnsi="宋体" w:eastAsia="宋体"/>
                <w:color w:val="000000"/>
                <w:sz w:val="18"/>
                <w:szCs w:val="18"/>
              </w:rPr>
              <w:t>目标</w:t>
            </w:r>
          </w:p>
          <w:p>
            <w:pPr>
              <w:spacing w:line="146" w:lineRule="exact"/>
              <w:ind w:left="20" w:firstLine="0"/>
              <w:jc w:val="right"/>
              <w:rPr>
                <w:sz w:val="18"/>
                <w:szCs w:val="18"/>
              </w:rPr>
            </w:pPr>
            <w:r>
              <w:rPr>
                <w:rFonts w:hint="eastAsia" w:ascii="宋体" w:hAnsi="宋体" w:eastAsia="宋体"/>
                <w:color w:val="000000"/>
                <w:sz w:val="18"/>
                <w:szCs w:val="18"/>
              </w:rPr>
              <w:t>完成</w:t>
            </w:r>
          </w:p>
          <w:p>
            <w:pPr>
              <w:spacing w:line="131" w:lineRule="exact"/>
              <w:ind w:left="20" w:firstLine="0"/>
              <w:jc w:val="right"/>
              <w:rPr>
                <w:sz w:val="18"/>
                <w:szCs w:val="18"/>
              </w:rPr>
            </w:pPr>
            <w:r>
              <w:rPr>
                <w:rFonts w:hint="eastAsia" w:ascii="宋体" w:hAnsi="宋体" w:eastAsia="宋体"/>
                <w:color w:val="000000"/>
                <w:sz w:val="18"/>
                <w:szCs w:val="18"/>
              </w:rPr>
              <w:t>情况</w:t>
            </w:r>
          </w:p>
        </w:tc>
        <w:tc>
          <w:tcPr>
            <w:tcW w:w="4048" w:type="dxa"/>
            <w:gridSpan w:val="4"/>
            <w:vAlign w:val="center"/>
          </w:tcPr>
          <w:p>
            <w:pPr>
              <w:spacing w:line="190" w:lineRule="exact"/>
              <w:jc w:val="center"/>
              <w:rPr>
                <w:sz w:val="18"/>
                <w:szCs w:val="18"/>
              </w:rPr>
            </w:pPr>
            <w:r>
              <w:rPr>
                <w:rFonts w:hint="eastAsia" w:ascii="宋体" w:hAnsi="宋体" w:eastAsia="宋体"/>
                <w:color w:val="000000"/>
                <w:sz w:val="18"/>
                <w:szCs w:val="18"/>
              </w:rPr>
              <w:t>总体目标</w:t>
            </w:r>
          </w:p>
        </w:tc>
        <w:tc>
          <w:tcPr>
            <w:tcW w:w="4272" w:type="dxa"/>
            <w:gridSpan w:val="3"/>
            <w:vAlign w:val="center"/>
          </w:tcPr>
          <w:p>
            <w:pPr>
              <w:spacing w:line="205" w:lineRule="exact"/>
              <w:jc w:val="center"/>
              <w:rPr>
                <w:sz w:val="18"/>
                <w:szCs w:val="18"/>
              </w:rPr>
            </w:pPr>
            <w:r>
              <w:rPr>
                <w:rFonts w:hint="eastAsia" w:ascii="宋体" w:hAnsi="宋体" w:eastAsia="宋体"/>
                <w:color w:val="000000"/>
                <w:sz w:val="18"/>
                <w:szCs w:val="18"/>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0" w:hRule="atLeast"/>
        </w:trPr>
        <w:tc>
          <w:tcPr>
            <w:tcW w:w="440" w:type="dxa"/>
            <w:vMerge w:val="continue"/>
          </w:tcPr>
          <w:p>
            <w:pPr>
              <w:rPr>
                <w:sz w:val="18"/>
                <w:szCs w:val="18"/>
              </w:rPr>
            </w:pPr>
          </w:p>
        </w:tc>
        <w:tc>
          <w:tcPr>
            <w:tcW w:w="4048" w:type="dxa"/>
            <w:gridSpan w:val="4"/>
            <w:vAlign w:val="center"/>
          </w:tcPr>
          <w:p>
            <w:pPr>
              <w:rPr>
                <w:sz w:val="18"/>
                <w:szCs w:val="18"/>
              </w:rPr>
            </w:pPr>
          </w:p>
        </w:tc>
        <w:tc>
          <w:tcPr>
            <w:tcW w:w="4272" w:type="dxa"/>
            <w:gridSpan w:val="3"/>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atLeast"/>
        </w:trPr>
        <w:tc>
          <w:tcPr>
            <w:tcW w:w="440" w:type="dxa"/>
            <w:vMerge w:val="restart"/>
            <w:vAlign w:val="top"/>
          </w:tcPr>
          <w:p>
            <w:pPr>
              <w:spacing w:before="3134" w:line="200" w:lineRule="exact"/>
              <w:jc w:val="center"/>
              <w:rPr>
                <w:sz w:val="18"/>
                <w:szCs w:val="18"/>
              </w:rPr>
            </w:pPr>
            <w:r>
              <w:rPr>
                <w:rFonts w:hint="eastAsia" w:ascii="宋体" w:hAnsi="宋体" w:eastAsia="宋体"/>
                <w:color w:val="000000"/>
                <w:sz w:val="18"/>
                <w:szCs w:val="18"/>
              </w:rPr>
              <w:t>绩</w:t>
            </w:r>
          </w:p>
          <w:p>
            <w:pPr>
              <w:spacing w:line="200" w:lineRule="exact"/>
              <w:jc w:val="center"/>
              <w:rPr>
                <w:sz w:val="18"/>
                <w:szCs w:val="18"/>
              </w:rPr>
            </w:pPr>
            <w:r>
              <w:rPr>
                <w:rFonts w:hint="eastAsia" w:ascii="宋体" w:hAnsi="宋体" w:eastAsia="宋体"/>
                <w:color w:val="000000"/>
                <w:sz w:val="18"/>
                <w:szCs w:val="18"/>
              </w:rPr>
              <w:t>效</w:t>
            </w:r>
          </w:p>
          <w:p>
            <w:pPr>
              <w:spacing w:line="200" w:lineRule="exact"/>
              <w:jc w:val="center"/>
              <w:rPr>
                <w:sz w:val="18"/>
                <w:szCs w:val="18"/>
              </w:rPr>
            </w:pPr>
            <w:r>
              <w:rPr>
                <w:rFonts w:hint="eastAsia" w:ascii="宋体" w:hAnsi="宋体" w:eastAsia="宋体"/>
                <w:color w:val="000000"/>
                <w:sz w:val="18"/>
                <w:szCs w:val="18"/>
              </w:rPr>
              <w:t>指</w:t>
            </w:r>
          </w:p>
          <w:p>
            <w:pPr>
              <w:spacing w:line="184" w:lineRule="exact"/>
              <w:jc w:val="center"/>
              <w:rPr>
                <w:sz w:val="18"/>
                <w:szCs w:val="18"/>
              </w:rPr>
            </w:pPr>
            <w:r>
              <w:rPr>
                <w:rFonts w:hint="eastAsia" w:ascii="宋体" w:hAnsi="宋体" w:eastAsia="宋体"/>
                <w:color w:val="000000"/>
                <w:sz w:val="18"/>
                <w:szCs w:val="18"/>
              </w:rPr>
              <w:t>标</w:t>
            </w:r>
          </w:p>
        </w:tc>
        <w:tc>
          <w:tcPr>
            <w:tcW w:w="420" w:type="dxa"/>
            <w:vAlign w:val="center"/>
          </w:tcPr>
          <w:p>
            <w:pPr>
              <w:spacing w:line="161" w:lineRule="exact"/>
              <w:jc w:val="center"/>
              <w:rPr>
                <w:sz w:val="18"/>
                <w:szCs w:val="18"/>
              </w:rPr>
            </w:pPr>
            <w:r>
              <w:rPr>
                <w:rFonts w:hint="eastAsia" w:ascii="宋体" w:hAnsi="宋体" w:eastAsia="宋体"/>
                <w:color w:val="000000"/>
                <w:sz w:val="18"/>
                <w:szCs w:val="18"/>
              </w:rPr>
              <w:t>一级</w:t>
            </w:r>
          </w:p>
          <w:p>
            <w:pPr>
              <w:spacing w:line="144" w:lineRule="exact"/>
              <w:jc w:val="center"/>
              <w:rPr>
                <w:sz w:val="18"/>
                <w:szCs w:val="18"/>
              </w:rPr>
            </w:pPr>
            <w:r>
              <w:rPr>
                <w:rFonts w:hint="eastAsia" w:ascii="宋体" w:hAnsi="宋体" w:eastAsia="宋体"/>
                <w:color w:val="000000"/>
                <w:sz w:val="18"/>
                <w:szCs w:val="18"/>
              </w:rPr>
              <w:t>指标</w:t>
            </w:r>
          </w:p>
        </w:tc>
        <w:tc>
          <w:tcPr>
            <w:tcW w:w="1100" w:type="dxa"/>
            <w:vAlign w:val="center"/>
          </w:tcPr>
          <w:p>
            <w:pPr>
              <w:spacing w:line="205" w:lineRule="exact"/>
              <w:jc w:val="center"/>
              <w:rPr>
                <w:sz w:val="18"/>
                <w:szCs w:val="18"/>
              </w:rPr>
            </w:pPr>
            <w:r>
              <w:rPr>
                <w:rFonts w:hint="eastAsia" w:ascii="宋体" w:hAnsi="宋体" w:eastAsia="宋体"/>
                <w:color w:val="000000"/>
                <w:sz w:val="18"/>
                <w:szCs w:val="18"/>
              </w:rPr>
              <w:t>二级指标</w:t>
            </w:r>
          </w:p>
        </w:tc>
        <w:tc>
          <w:tcPr>
            <w:tcW w:w="2528" w:type="dxa"/>
            <w:gridSpan w:val="2"/>
            <w:vAlign w:val="center"/>
          </w:tcPr>
          <w:p>
            <w:pPr>
              <w:spacing w:line="205" w:lineRule="exact"/>
              <w:jc w:val="center"/>
              <w:rPr>
                <w:sz w:val="18"/>
                <w:szCs w:val="18"/>
              </w:rPr>
            </w:pPr>
            <w:r>
              <w:rPr>
                <w:rFonts w:hint="eastAsia" w:ascii="宋体" w:hAnsi="宋体" w:eastAsia="宋体"/>
                <w:color w:val="000000"/>
                <w:sz w:val="18"/>
                <w:szCs w:val="18"/>
              </w:rPr>
              <w:t>三级指标</w:t>
            </w:r>
          </w:p>
        </w:tc>
        <w:tc>
          <w:tcPr>
            <w:tcW w:w="1612" w:type="dxa"/>
            <w:vAlign w:val="center"/>
          </w:tcPr>
          <w:p>
            <w:pPr>
              <w:spacing w:line="183" w:lineRule="exact"/>
              <w:jc w:val="center"/>
              <w:rPr>
                <w:sz w:val="18"/>
                <w:szCs w:val="18"/>
              </w:rPr>
            </w:pPr>
            <w:r>
              <w:rPr>
                <w:rFonts w:hint="eastAsia" w:ascii="宋体" w:hAnsi="宋体" w:eastAsia="宋体"/>
                <w:color w:val="000000"/>
                <w:sz w:val="18"/>
                <w:szCs w:val="18"/>
              </w:rPr>
              <w:t>指标值</w:t>
            </w:r>
          </w:p>
        </w:tc>
        <w:tc>
          <w:tcPr>
            <w:tcW w:w="900" w:type="dxa"/>
            <w:vAlign w:val="center"/>
          </w:tcPr>
          <w:p>
            <w:pPr>
              <w:spacing w:line="131" w:lineRule="exact"/>
              <w:jc w:val="center"/>
              <w:rPr>
                <w:sz w:val="18"/>
                <w:szCs w:val="18"/>
              </w:rPr>
            </w:pPr>
            <w:r>
              <w:rPr>
                <w:rFonts w:hint="eastAsia" w:ascii="宋体" w:hAnsi="宋体" w:eastAsia="宋体"/>
                <w:color w:val="000000"/>
                <w:sz w:val="18"/>
                <w:szCs w:val="18"/>
              </w:rPr>
              <w:t>全年实际完</w:t>
            </w:r>
          </w:p>
          <w:p>
            <w:pPr>
              <w:spacing w:line="155" w:lineRule="exact"/>
              <w:jc w:val="center"/>
              <w:rPr>
                <w:sz w:val="18"/>
                <w:szCs w:val="18"/>
              </w:rPr>
            </w:pPr>
            <w:r>
              <w:rPr>
                <w:rFonts w:hint="eastAsia" w:ascii="宋体" w:hAnsi="宋体" w:eastAsia="宋体"/>
                <w:color w:val="000000"/>
                <w:sz w:val="18"/>
                <w:szCs w:val="18"/>
              </w:rPr>
              <w:t>成值</w:t>
            </w:r>
          </w:p>
        </w:tc>
        <w:tc>
          <w:tcPr>
            <w:tcW w:w="1760" w:type="dxa"/>
            <w:vAlign w:val="center"/>
          </w:tcPr>
          <w:p>
            <w:pPr>
              <w:spacing w:line="249" w:lineRule="exact"/>
              <w:jc w:val="center"/>
              <w:rPr>
                <w:sz w:val="18"/>
                <w:szCs w:val="18"/>
              </w:rPr>
            </w:pPr>
            <w:r>
              <w:rPr>
                <w:rFonts w:hint="eastAsia" w:ascii="宋体" w:hAnsi="宋体" w:eastAsia="宋体"/>
                <w:color w:val="000000"/>
                <w:sz w:val="18"/>
                <w:szCs w:val="18"/>
              </w:rPr>
              <w:t>未完成原因和改进措施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 w:hRule="atLeast"/>
        </w:trPr>
        <w:tc>
          <w:tcPr>
            <w:tcW w:w="440" w:type="dxa"/>
            <w:vMerge w:val="continue"/>
          </w:tcPr>
          <w:p>
            <w:pPr>
              <w:rPr>
                <w:sz w:val="18"/>
                <w:szCs w:val="18"/>
              </w:rPr>
            </w:pPr>
          </w:p>
        </w:tc>
        <w:tc>
          <w:tcPr>
            <w:tcW w:w="420" w:type="dxa"/>
            <w:vMerge w:val="restart"/>
            <w:vAlign w:val="top"/>
          </w:tcPr>
          <w:p>
            <w:pPr>
              <w:spacing w:before="1021" w:line="200" w:lineRule="exact"/>
              <w:jc w:val="center"/>
              <w:rPr>
                <w:sz w:val="18"/>
                <w:szCs w:val="18"/>
              </w:rPr>
            </w:pPr>
            <w:r>
              <w:rPr>
                <w:rFonts w:hint="eastAsia" w:ascii="宋体" w:hAnsi="宋体" w:eastAsia="宋体"/>
                <w:color w:val="000000"/>
                <w:sz w:val="18"/>
                <w:szCs w:val="18"/>
              </w:rPr>
              <w:t>产</w:t>
            </w:r>
          </w:p>
          <w:p>
            <w:pPr>
              <w:spacing w:line="200" w:lineRule="exact"/>
              <w:jc w:val="center"/>
              <w:rPr>
                <w:sz w:val="18"/>
                <w:szCs w:val="18"/>
              </w:rPr>
            </w:pPr>
            <w:r>
              <w:rPr>
                <w:rFonts w:hint="eastAsia" w:ascii="宋体" w:hAnsi="宋体" w:eastAsia="宋体"/>
                <w:color w:val="000000"/>
                <w:sz w:val="18"/>
                <w:szCs w:val="18"/>
              </w:rPr>
              <w:t>出</w:t>
            </w:r>
          </w:p>
          <w:p>
            <w:pPr>
              <w:spacing w:line="200" w:lineRule="exact"/>
              <w:jc w:val="center"/>
              <w:rPr>
                <w:sz w:val="18"/>
                <w:szCs w:val="18"/>
              </w:rPr>
            </w:pPr>
            <w:r>
              <w:rPr>
                <w:rFonts w:hint="eastAsia" w:ascii="宋体" w:hAnsi="宋体" w:eastAsia="宋体"/>
                <w:color w:val="000000"/>
                <w:sz w:val="18"/>
                <w:szCs w:val="18"/>
              </w:rPr>
              <w:t>指</w:t>
            </w:r>
          </w:p>
          <w:p>
            <w:pPr>
              <w:spacing w:line="184" w:lineRule="exact"/>
              <w:jc w:val="center"/>
              <w:rPr>
                <w:sz w:val="18"/>
                <w:szCs w:val="18"/>
              </w:rPr>
            </w:pPr>
            <w:r>
              <w:rPr>
                <w:rFonts w:hint="eastAsia" w:ascii="宋体" w:hAnsi="宋体" w:eastAsia="宋体"/>
                <w:color w:val="000000"/>
                <w:sz w:val="18"/>
                <w:szCs w:val="18"/>
              </w:rPr>
              <w:t>标</w:t>
            </w:r>
          </w:p>
        </w:tc>
        <w:tc>
          <w:tcPr>
            <w:tcW w:w="1100" w:type="dxa"/>
            <w:vMerge w:val="restart"/>
            <w:vAlign w:val="center"/>
          </w:tcPr>
          <w:p>
            <w:pPr>
              <w:spacing w:line="183" w:lineRule="exact"/>
              <w:jc w:val="center"/>
              <w:rPr>
                <w:sz w:val="18"/>
                <w:szCs w:val="18"/>
              </w:rPr>
            </w:pPr>
            <w:r>
              <w:rPr>
                <w:rFonts w:hint="eastAsia" w:ascii="宋体" w:hAnsi="宋体" w:eastAsia="宋体"/>
                <w:color w:val="000000"/>
                <w:sz w:val="18"/>
                <w:szCs w:val="18"/>
              </w:rPr>
              <w:t>数量指标</w:t>
            </w:r>
          </w:p>
        </w:tc>
        <w:tc>
          <w:tcPr>
            <w:tcW w:w="2528" w:type="dxa"/>
            <w:gridSpan w:val="2"/>
            <w:vAlign w:val="center"/>
          </w:tcPr>
          <w:p>
            <w:pPr>
              <w:rPr>
                <w:rFonts w:hint="eastAsia" w:eastAsiaTheme="minorEastAsia"/>
                <w:sz w:val="18"/>
                <w:szCs w:val="18"/>
                <w:lang w:val="en-US" w:eastAsia="zh-CN"/>
              </w:rPr>
            </w:pPr>
            <w:r>
              <w:rPr>
                <w:rFonts w:hint="eastAsia"/>
                <w:sz w:val="18"/>
                <w:szCs w:val="18"/>
                <w:lang w:val="en-US" w:eastAsia="zh-CN"/>
              </w:rPr>
              <w:t>尘肺病防治</w:t>
            </w:r>
          </w:p>
        </w:tc>
        <w:tc>
          <w:tcPr>
            <w:tcW w:w="1612" w:type="dxa"/>
            <w:vAlign w:val="center"/>
          </w:tcPr>
          <w:p>
            <w:pPr>
              <w:rPr>
                <w:rFonts w:hint="default" w:eastAsiaTheme="minorEastAsia"/>
                <w:sz w:val="18"/>
                <w:szCs w:val="18"/>
                <w:lang w:val="en-US" w:eastAsia="zh-CN"/>
              </w:rPr>
            </w:pPr>
            <w:r>
              <w:rPr>
                <w:rFonts w:hint="eastAsia"/>
                <w:sz w:val="18"/>
                <w:szCs w:val="18"/>
                <w:lang w:eastAsia="zh-CN"/>
              </w:rPr>
              <w:t>任务：职业场所摸底</w:t>
            </w:r>
            <w:r>
              <w:rPr>
                <w:rFonts w:hint="eastAsia"/>
                <w:sz w:val="18"/>
                <w:szCs w:val="18"/>
                <w:lang w:val="en-US" w:eastAsia="zh-CN"/>
              </w:rPr>
              <w:t>10家，尘肺病治疗1人。</w:t>
            </w:r>
          </w:p>
        </w:tc>
        <w:tc>
          <w:tcPr>
            <w:tcW w:w="900" w:type="dxa"/>
            <w:vAlign w:val="center"/>
          </w:tcPr>
          <w:p>
            <w:pPr>
              <w:rPr>
                <w:rFonts w:hint="default" w:eastAsiaTheme="minorEastAsia"/>
                <w:sz w:val="18"/>
                <w:szCs w:val="18"/>
                <w:lang w:val="en-US" w:eastAsia="zh-CN"/>
              </w:rPr>
            </w:pPr>
            <w:r>
              <w:rPr>
                <w:rFonts w:hint="eastAsia"/>
                <w:sz w:val="18"/>
                <w:szCs w:val="18"/>
                <w:lang w:val="en-US" w:eastAsia="zh-CN"/>
              </w:rPr>
              <w:t>100%</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eastAsiaTheme="minorEastAsia"/>
                <w:sz w:val="18"/>
                <w:szCs w:val="18"/>
                <w:lang w:eastAsia="zh-CN"/>
              </w:rPr>
            </w:pPr>
            <w:r>
              <w:rPr>
                <w:rFonts w:hint="eastAsia"/>
                <w:sz w:val="18"/>
                <w:szCs w:val="18"/>
                <w:lang w:eastAsia="zh-CN"/>
              </w:rPr>
              <w:t>免疫规划</w:t>
            </w:r>
          </w:p>
        </w:tc>
        <w:tc>
          <w:tcPr>
            <w:tcW w:w="1612" w:type="dxa"/>
            <w:vAlign w:val="center"/>
          </w:tcPr>
          <w:p>
            <w:pPr>
              <w:rPr>
                <w:rFonts w:hint="default" w:eastAsiaTheme="minorEastAsia"/>
                <w:sz w:val="18"/>
                <w:szCs w:val="18"/>
                <w:lang w:val="en-US" w:eastAsia="zh-CN"/>
              </w:rPr>
            </w:pPr>
            <w:r>
              <w:rPr>
                <w:rFonts w:hint="eastAsia"/>
                <w:sz w:val="18"/>
                <w:szCs w:val="18"/>
                <w:lang w:val="en-US" w:eastAsia="zh-CN"/>
              </w:rPr>
              <w:t>任务：6次冷链运转，接种率达95%以上。</w:t>
            </w:r>
          </w:p>
        </w:tc>
        <w:tc>
          <w:tcPr>
            <w:tcW w:w="900" w:type="dxa"/>
            <w:vAlign w:val="center"/>
          </w:tcPr>
          <w:p>
            <w:pPr>
              <w:rPr>
                <w:rFonts w:hint="default" w:eastAsiaTheme="minorEastAsia"/>
                <w:sz w:val="18"/>
                <w:szCs w:val="18"/>
                <w:lang w:val="en-US" w:eastAsia="zh-CN"/>
              </w:rPr>
            </w:pPr>
            <w:r>
              <w:rPr>
                <w:rFonts w:hint="eastAsia"/>
                <w:sz w:val="18"/>
                <w:szCs w:val="18"/>
                <w:lang w:val="en-US" w:eastAsia="zh-CN"/>
              </w:rPr>
              <w:t>99%</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eastAsiaTheme="minorEastAsia"/>
                <w:sz w:val="18"/>
                <w:szCs w:val="18"/>
                <w:lang w:eastAsia="zh-CN"/>
              </w:rPr>
            </w:pPr>
            <w:r>
              <w:rPr>
                <w:rFonts w:hint="eastAsia"/>
                <w:sz w:val="18"/>
                <w:szCs w:val="18"/>
                <w:lang w:eastAsia="zh-CN"/>
              </w:rPr>
              <w:t>艾滋病防治</w:t>
            </w:r>
          </w:p>
        </w:tc>
        <w:tc>
          <w:tcPr>
            <w:tcW w:w="1612" w:type="dxa"/>
            <w:vAlign w:val="center"/>
          </w:tcPr>
          <w:p>
            <w:pPr>
              <w:rPr>
                <w:rFonts w:hint="default" w:eastAsiaTheme="minorEastAsia"/>
                <w:sz w:val="18"/>
                <w:szCs w:val="18"/>
                <w:lang w:val="en-US" w:eastAsia="zh-CN"/>
              </w:rPr>
            </w:pPr>
            <w:r>
              <w:rPr>
                <w:rFonts w:hint="eastAsia"/>
                <w:sz w:val="18"/>
                <w:szCs w:val="18"/>
                <w:lang w:eastAsia="zh-CN"/>
              </w:rPr>
              <w:t>任务：管理病人</w:t>
            </w:r>
            <w:r>
              <w:rPr>
                <w:rFonts w:hint="eastAsia"/>
                <w:sz w:val="18"/>
                <w:szCs w:val="18"/>
                <w:lang w:val="en-US" w:eastAsia="zh-CN"/>
              </w:rPr>
              <w:t>112例</w:t>
            </w:r>
          </w:p>
        </w:tc>
        <w:tc>
          <w:tcPr>
            <w:tcW w:w="900" w:type="dxa"/>
            <w:vAlign w:val="center"/>
          </w:tcPr>
          <w:p>
            <w:pPr>
              <w:rPr>
                <w:rFonts w:hint="default" w:eastAsiaTheme="minorEastAsia"/>
                <w:sz w:val="18"/>
                <w:szCs w:val="18"/>
                <w:lang w:val="en-US" w:eastAsia="zh-CN"/>
              </w:rPr>
            </w:pPr>
            <w:r>
              <w:rPr>
                <w:rFonts w:hint="eastAsia"/>
                <w:sz w:val="18"/>
                <w:szCs w:val="18"/>
                <w:lang w:val="en-US" w:eastAsia="zh-CN"/>
              </w:rPr>
              <w:t>97.3%</w:t>
            </w:r>
          </w:p>
        </w:tc>
        <w:tc>
          <w:tcPr>
            <w:tcW w:w="1760" w:type="dxa"/>
            <w:vAlign w:val="center"/>
          </w:tcPr>
          <w:p>
            <w:pPr>
              <w:rPr>
                <w:rFonts w:hint="default" w:eastAsiaTheme="minorEastAsia"/>
                <w:sz w:val="18"/>
                <w:szCs w:val="18"/>
                <w:lang w:val="en-US" w:eastAsia="zh-CN"/>
              </w:rPr>
            </w:pPr>
            <w:r>
              <w:rPr>
                <w:rFonts w:hint="eastAsia"/>
                <w:sz w:val="18"/>
                <w:szCs w:val="18"/>
                <w:lang w:eastAsia="zh-CN"/>
              </w:rPr>
              <w:t>外地治疗管理</w:t>
            </w:r>
            <w:r>
              <w:rPr>
                <w:rFonts w:hint="eastAsia"/>
                <w:sz w:val="18"/>
                <w:szCs w:val="18"/>
                <w:lang w:val="en-US" w:eastAsia="zh-CN"/>
              </w:rPr>
              <w:t>4人，3人未治疗。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eastAsiaTheme="minorEastAsia"/>
                <w:sz w:val="18"/>
                <w:szCs w:val="18"/>
                <w:lang w:eastAsia="zh-CN"/>
              </w:rPr>
            </w:pPr>
            <w:r>
              <w:rPr>
                <w:rFonts w:hint="eastAsia"/>
                <w:sz w:val="18"/>
                <w:szCs w:val="18"/>
                <w:lang w:eastAsia="zh-CN"/>
              </w:rPr>
              <w:t>结核病防治</w:t>
            </w:r>
          </w:p>
        </w:tc>
        <w:tc>
          <w:tcPr>
            <w:tcW w:w="1612" w:type="dxa"/>
            <w:vAlign w:val="center"/>
          </w:tcPr>
          <w:p>
            <w:pPr>
              <w:rPr>
                <w:rFonts w:hint="default" w:eastAsiaTheme="minorEastAsia"/>
                <w:sz w:val="18"/>
                <w:szCs w:val="18"/>
                <w:lang w:val="en-US" w:eastAsia="zh-CN"/>
              </w:rPr>
            </w:pPr>
            <w:r>
              <w:rPr>
                <w:rFonts w:hint="eastAsia"/>
                <w:sz w:val="18"/>
                <w:szCs w:val="18"/>
                <w:lang w:eastAsia="zh-CN"/>
              </w:rPr>
              <w:t>任务：管理病人</w:t>
            </w:r>
            <w:r>
              <w:rPr>
                <w:rFonts w:hint="eastAsia"/>
                <w:sz w:val="18"/>
                <w:szCs w:val="18"/>
                <w:lang w:val="en-US" w:eastAsia="zh-CN"/>
              </w:rPr>
              <w:t>97例，转诊93例。</w:t>
            </w:r>
          </w:p>
        </w:tc>
        <w:tc>
          <w:tcPr>
            <w:tcW w:w="900" w:type="dxa"/>
            <w:vAlign w:val="center"/>
          </w:tcPr>
          <w:p>
            <w:pPr>
              <w:rPr>
                <w:rFonts w:hint="default" w:eastAsiaTheme="minorEastAsia"/>
                <w:sz w:val="18"/>
                <w:szCs w:val="18"/>
                <w:lang w:val="en-US" w:eastAsia="zh-CN"/>
              </w:rPr>
            </w:pPr>
            <w:r>
              <w:rPr>
                <w:rFonts w:hint="eastAsia"/>
                <w:sz w:val="18"/>
                <w:szCs w:val="18"/>
                <w:lang w:val="en-US" w:eastAsia="zh-CN"/>
              </w:rPr>
              <w:t>95.9%</w:t>
            </w:r>
          </w:p>
        </w:tc>
        <w:tc>
          <w:tcPr>
            <w:tcW w:w="1760" w:type="dxa"/>
            <w:vAlign w:val="center"/>
          </w:tcPr>
          <w:p>
            <w:pPr>
              <w:rPr>
                <w:rFonts w:hint="eastAsia" w:eastAsiaTheme="minorEastAsia"/>
                <w:sz w:val="18"/>
                <w:szCs w:val="18"/>
                <w:lang w:eastAsia="zh-CN"/>
              </w:rPr>
            </w:pPr>
            <w:r>
              <w:rPr>
                <w:rFonts w:hint="eastAsia"/>
                <w:sz w:val="18"/>
                <w:szCs w:val="18"/>
                <w:lang w:eastAsia="zh-CN"/>
              </w:rPr>
              <w:t>达到省指标任务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eastAsiaTheme="minorEastAsia"/>
                <w:sz w:val="18"/>
                <w:szCs w:val="18"/>
                <w:lang w:eastAsia="zh-CN"/>
              </w:rPr>
            </w:pPr>
            <w:r>
              <w:rPr>
                <w:rFonts w:hint="eastAsia"/>
                <w:sz w:val="18"/>
                <w:szCs w:val="18"/>
                <w:lang w:eastAsia="zh-CN"/>
              </w:rPr>
              <w:t>精神卫生和慢性病防治</w:t>
            </w:r>
          </w:p>
        </w:tc>
        <w:tc>
          <w:tcPr>
            <w:tcW w:w="1612" w:type="dxa"/>
            <w:vAlign w:val="center"/>
          </w:tcPr>
          <w:p>
            <w:pPr>
              <w:rPr>
                <w:rFonts w:hint="default" w:eastAsiaTheme="minorEastAsia"/>
                <w:sz w:val="18"/>
                <w:szCs w:val="18"/>
                <w:lang w:val="en-US" w:eastAsia="zh-CN"/>
              </w:rPr>
            </w:pPr>
            <w:r>
              <w:rPr>
                <w:rFonts w:hint="eastAsia"/>
                <w:sz w:val="18"/>
                <w:szCs w:val="18"/>
                <w:lang w:eastAsia="zh-CN"/>
              </w:rPr>
              <w:t>任务：精神病管理达到</w:t>
            </w:r>
            <w:r>
              <w:rPr>
                <w:rFonts w:hint="eastAsia"/>
                <w:sz w:val="18"/>
                <w:szCs w:val="18"/>
                <w:lang w:val="en-US" w:eastAsia="zh-CN"/>
              </w:rPr>
              <w:t>90%以上，慢性病管理达到50%以上。</w:t>
            </w:r>
          </w:p>
        </w:tc>
        <w:tc>
          <w:tcPr>
            <w:tcW w:w="900" w:type="dxa"/>
            <w:vAlign w:val="center"/>
          </w:tcPr>
          <w:p>
            <w:pPr>
              <w:rPr>
                <w:rFonts w:hint="eastAsia"/>
                <w:sz w:val="18"/>
                <w:szCs w:val="18"/>
                <w:lang w:val="en-US" w:eastAsia="zh-CN"/>
              </w:rPr>
            </w:pPr>
            <w:r>
              <w:rPr>
                <w:rFonts w:hint="eastAsia"/>
                <w:sz w:val="18"/>
                <w:szCs w:val="18"/>
                <w:lang w:val="en-US" w:eastAsia="zh-CN"/>
              </w:rPr>
              <w:t>95%</w:t>
            </w:r>
          </w:p>
          <w:p>
            <w:pPr>
              <w:rPr>
                <w:rFonts w:hint="default"/>
                <w:sz w:val="18"/>
                <w:szCs w:val="18"/>
                <w:lang w:val="en-US" w:eastAsia="zh-CN"/>
              </w:rPr>
            </w:pPr>
            <w:r>
              <w:rPr>
                <w:rFonts w:hint="eastAsia"/>
                <w:sz w:val="18"/>
                <w:szCs w:val="18"/>
                <w:lang w:val="en-US" w:eastAsia="zh-CN"/>
              </w:rPr>
              <w:t>75%</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eastAsiaTheme="minorEastAsia"/>
                <w:sz w:val="18"/>
                <w:szCs w:val="18"/>
                <w:lang w:eastAsia="zh-CN"/>
              </w:rPr>
            </w:pPr>
            <w:r>
              <w:rPr>
                <w:rFonts w:hint="eastAsia"/>
                <w:sz w:val="18"/>
                <w:szCs w:val="18"/>
                <w:lang w:eastAsia="zh-CN"/>
              </w:rPr>
              <w:t>新冠肺炎防控</w:t>
            </w:r>
          </w:p>
        </w:tc>
        <w:tc>
          <w:tcPr>
            <w:tcW w:w="1612" w:type="dxa"/>
            <w:vAlign w:val="center"/>
          </w:tcPr>
          <w:p>
            <w:pPr>
              <w:rPr>
                <w:rFonts w:hint="eastAsia" w:eastAsiaTheme="minorEastAsia"/>
                <w:sz w:val="18"/>
                <w:szCs w:val="18"/>
                <w:lang w:eastAsia="zh-CN"/>
              </w:rPr>
            </w:pPr>
            <w:r>
              <w:rPr>
                <w:rFonts w:hint="eastAsia"/>
                <w:sz w:val="18"/>
                <w:szCs w:val="18"/>
                <w:lang w:eastAsia="zh-CN"/>
              </w:rPr>
              <w:t>任务：按省推送人员和县防控指挥部要求开展防控工作。</w:t>
            </w:r>
          </w:p>
        </w:tc>
        <w:tc>
          <w:tcPr>
            <w:tcW w:w="900" w:type="dxa"/>
            <w:vAlign w:val="center"/>
          </w:tcPr>
          <w:p>
            <w:pPr>
              <w:rPr>
                <w:rFonts w:hint="default"/>
                <w:sz w:val="18"/>
                <w:szCs w:val="18"/>
                <w:lang w:val="en-US" w:eastAsia="zh-CN"/>
              </w:rPr>
            </w:pPr>
            <w:r>
              <w:rPr>
                <w:rFonts w:hint="eastAsia"/>
                <w:sz w:val="18"/>
                <w:szCs w:val="18"/>
                <w:lang w:val="en-US" w:eastAsia="zh-CN"/>
              </w:rPr>
              <w:t>99.9%</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restart"/>
            <w:vAlign w:val="center"/>
          </w:tcPr>
          <w:p>
            <w:pPr>
              <w:spacing w:line="190" w:lineRule="exact"/>
              <w:jc w:val="center"/>
              <w:rPr>
                <w:sz w:val="18"/>
                <w:szCs w:val="18"/>
              </w:rPr>
            </w:pPr>
            <w:r>
              <w:rPr>
                <w:rFonts w:hint="eastAsia" w:ascii="宋体" w:hAnsi="宋体" w:eastAsia="宋体"/>
                <w:color w:val="000000"/>
                <w:sz w:val="18"/>
                <w:szCs w:val="18"/>
              </w:rPr>
              <w:t>质量指标</w:t>
            </w: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restart"/>
            <w:vAlign w:val="center"/>
          </w:tcPr>
          <w:p>
            <w:pPr>
              <w:spacing w:line="170" w:lineRule="exact"/>
              <w:jc w:val="center"/>
              <w:rPr>
                <w:sz w:val="18"/>
                <w:szCs w:val="18"/>
              </w:rPr>
            </w:pPr>
            <w:r>
              <w:rPr>
                <w:rFonts w:hint="eastAsia" w:ascii="宋体" w:hAnsi="宋体" w:eastAsia="宋体"/>
                <w:color w:val="000000"/>
                <w:sz w:val="18"/>
                <w:szCs w:val="18"/>
              </w:rPr>
              <w:t>时效指标</w:t>
            </w: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restart"/>
            <w:vAlign w:val="center"/>
          </w:tcPr>
          <w:p>
            <w:pPr>
              <w:spacing w:line="170" w:lineRule="exact"/>
              <w:jc w:val="center"/>
              <w:rPr>
                <w:sz w:val="18"/>
                <w:szCs w:val="18"/>
              </w:rPr>
            </w:pPr>
            <w:r>
              <w:rPr>
                <w:rFonts w:hint="eastAsia" w:ascii="宋体" w:hAnsi="宋体" w:eastAsia="宋体"/>
                <w:color w:val="000000"/>
                <w:sz w:val="18"/>
                <w:szCs w:val="18"/>
              </w:rPr>
              <w:t>成本指标</w:t>
            </w:r>
          </w:p>
        </w:tc>
        <w:tc>
          <w:tcPr>
            <w:tcW w:w="2528" w:type="dxa"/>
            <w:gridSpan w:val="2"/>
            <w:vAlign w:val="center"/>
          </w:tcPr>
          <w:p>
            <w:pPr>
              <w:rPr>
                <w:rFonts w:hint="eastAsia" w:asciiTheme="minorHAnsi" w:hAnsiTheme="minorHAnsi" w:eastAsiaTheme="minorEastAsia" w:cstheme="minorBidi"/>
                <w:sz w:val="18"/>
                <w:szCs w:val="18"/>
                <w:lang w:val="en-US" w:eastAsia="zh-CN"/>
              </w:rPr>
            </w:pPr>
            <w:r>
              <w:rPr>
                <w:rFonts w:hint="eastAsia"/>
                <w:sz w:val="18"/>
                <w:szCs w:val="18"/>
                <w:lang w:val="en-US" w:eastAsia="zh-CN"/>
              </w:rPr>
              <w:t>尘肺病防治：</w:t>
            </w:r>
            <w:r>
              <w:rPr>
                <w:rFonts w:hint="eastAsia" w:ascii="宋体" w:hAnsi="宋体" w:eastAsia="宋体" w:cs="宋体"/>
                <w:color w:val="FF0000"/>
                <w:kern w:val="0"/>
                <w:sz w:val="20"/>
                <w:szCs w:val="20"/>
              </w:rPr>
              <w:t>≥</w:t>
            </w:r>
            <w:r>
              <w:rPr>
                <w:rFonts w:hint="eastAsia"/>
                <w:sz w:val="18"/>
                <w:szCs w:val="18"/>
                <w:lang w:eastAsia="zh-CN"/>
              </w:rPr>
              <w:t>职业场所摸底</w:t>
            </w:r>
            <w:r>
              <w:rPr>
                <w:rFonts w:hint="eastAsia"/>
                <w:sz w:val="18"/>
                <w:szCs w:val="18"/>
                <w:lang w:val="en-US" w:eastAsia="zh-CN"/>
              </w:rPr>
              <w:t>10家，尘肺病治疗1人。</w:t>
            </w:r>
          </w:p>
        </w:tc>
        <w:tc>
          <w:tcPr>
            <w:tcW w:w="1612" w:type="dxa"/>
            <w:vAlign w:val="center"/>
          </w:tcPr>
          <w:p>
            <w:pPr>
              <w:rPr>
                <w:rFonts w:hint="default" w:eastAsia="宋体"/>
                <w:sz w:val="18"/>
                <w:szCs w:val="18"/>
                <w:lang w:val="en-US" w:eastAsia="zh-CN"/>
              </w:rPr>
            </w:pPr>
            <w:r>
              <w:rPr>
                <w:rFonts w:hint="eastAsia" w:ascii="宋体" w:hAnsi="宋体" w:eastAsia="宋体" w:cs="宋体"/>
                <w:color w:val="FF0000"/>
                <w:kern w:val="0"/>
                <w:sz w:val="20"/>
                <w:szCs w:val="20"/>
                <w:lang w:val="en-US" w:eastAsia="zh-CN"/>
              </w:rPr>
              <w:t>2.19万元</w:t>
            </w:r>
          </w:p>
        </w:tc>
        <w:tc>
          <w:tcPr>
            <w:tcW w:w="900" w:type="dxa"/>
            <w:vAlign w:val="center"/>
          </w:tcPr>
          <w:p>
            <w:pPr>
              <w:rPr>
                <w:rFonts w:hint="default" w:eastAsia="宋体" w:asciiTheme="minorHAnsi" w:hAnsiTheme="minorHAnsi" w:cstheme="minorBidi"/>
                <w:sz w:val="18"/>
                <w:szCs w:val="18"/>
                <w:lang w:val="en-US" w:eastAsia="zh-CN"/>
              </w:rPr>
            </w:pPr>
            <w:r>
              <w:rPr>
                <w:rFonts w:hint="eastAsia" w:ascii="宋体" w:hAnsi="宋体" w:eastAsia="宋体" w:cs="宋体"/>
                <w:color w:val="FF0000"/>
                <w:kern w:val="0"/>
                <w:sz w:val="20"/>
                <w:szCs w:val="20"/>
              </w:rPr>
              <w:t>≥</w:t>
            </w:r>
            <w:r>
              <w:rPr>
                <w:rFonts w:hint="eastAsia" w:ascii="宋体" w:hAnsi="宋体" w:eastAsia="宋体" w:cs="宋体"/>
                <w:color w:val="FF0000"/>
                <w:kern w:val="0"/>
                <w:sz w:val="20"/>
                <w:szCs w:val="20"/>
                <w:lang w:val="en-US" w:eastAsia="zh-CN"/>
              </w:rPr>
              <w:t>2.19万元</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asciiTheme="minorHAnsi" w:hAnsiTheme="minorHAnsi" w:eastAsiaTheme="minorEastAsia" w:cstheme="minorBidi"/>
                <w:sz w:val="18"/>
                <w:szCs w:val="18"/>
                <w:lang w:eastAsia="zh-CN"/>
              </w:rPr>
            </w:pPr>
            <w:r>
              <w:rPr>
                <w:rFonts w:hint="eastAsia"/>
                <w:sz w:val="18"/>
                <w:szCs w:val="18"/>
                <w:lang w:eastAsia="zh-CN"/>
              </w:rPr>
              <w:t>免疫规划：</w:t>
            </w:r>
            <w:r>
              <w:rPr>
                <w:rFonts w:hint="eastAsia" w:ascii="宋体" w:hAnsi="宋体" w:eastAsia="宋体" w:cs="宋体"/>
                <w:color w:val="FF0000"/>
                <w:kern w:val="0"/>
                <w:sz w:val="20"/>
                <w:szCs w:val="20"/>
              </w:rPr>
              <w:t>≥</w:t>
            </w:r>
            <w:r>
              <w:rPr>
                <w:rFonts w:hint="eastAsia"/>
                <w:sz w:val="18"/>
                <w:szCs w:val="18"/>
                <w:lang w:val="en-US" w:eastAsia="zh-CN"/>
              </w:rPr>
              <w:t>6次冷链运转，接种率达95%以上。</w:t>
            </w:r>
          </w:p>
        </w:tc>
        <w:tc>
          <w:tcPr>
            <w:tcW w:w="1612" w:type="dxa"/>
            <w:vAlign w:val="center"/>
          </w:tcPr>
          <w:p>
            <w:pPr>
              <w:rPr>
                <w:rFonts w:hint="default" w:eastAsia="宋体"/>
                <w:sz w:val="18"/>
                <w:szCs w:val="18"/>
                <w:lang w:val="en-US" w:eastAsia="zh-CN"/>
              </w:rPr>
            </w:pPr>
            <w:r>
              <w:rPr>
                <w:rFonts w:hint="eastAsia" w:ascii="宋体" w:hAnsi="宋体" w:eastAsia="宋体" w:cs="宋体"/>
                <w:color w:val="FF0000"/>
                <w:kern w:val="0"/>
                <w:sz w:val="20"/>
                <w:szCs w:val="20"/>
                <w:lang w:val="en-US" w:eastAsia="zh-CN"/>
              </w:rPr>
              <w:t>15万元</w:t>
            </w:r>
          </w:p>
        </w:tc>
        <w:tc>
          <w:tcPr>
            <w:tcW w:w="900" w:type="dxa"/>
            <w:vAlign w:val="center"/>
          </w:tcPr>
          <w:p>
            <w:pPr>
              <w:rPr>
                <w:rFonts w:hint="default" w:eastAsia="宋体" w:asciiTheme="minorHAnsi" w:hAnsiTheme="minorHAnsi" w:cstheme="minorBidi"/>
                <w:sz w:val="18"/>
                <w:szCs w:val="18"/>
                <w:lang w:val="en-US" w:eastAsia="zh-CN"/>
              </w:rPr>
            </w:pPr>
            <w:r>
              <w:rPr>
                <w:rFonts w:hint="eastAsia" w:ascii="宋体" w:hAnsi="宋体" w:eastAsia="宋体" w:cs="宋体"/>
                <w:color w:val="FF0000"/>
                <w:kern w:val="0"/>
                <w:sz w:val="20"/>
                <w:szCs w:val="20"/>
              </w:rPr>
              <w:t>≥</w:t>
            </w:r>
            <w:r>
              <w:rPr>
                <w:rFonts w:hint="eastAsia" w:ascii="宋体" w:hAnsi="宋体" w:eastAsia="宋体" w:cs="宋体"/>
                <w:color w:val="FF0000"/>
                <w:kern w:val="0"/>
                <w:sz w:val="20"/>
                <w:szCs w:val="20"/>
                <w:lang w:val="en-US" w:eastAsia="zh-CN"/>
              </w:rPr>
              <w:t>15万元</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asciiTheme="minorHAnsi" w:hAnsiTheme="minorHAnsi" w:eastAsiaTheme="minorEastAsia" w:cstheme="minorBidi"/>
                <w:sz w:val="18"/>
                <w:szCs w:val="18"/>
                <w:lang w:eastAsia="zh-CN"/>
              </w:rPr>
            </w:pPr>
            <w:r>
              <w:rPr>
                <w:rFonts w:hint="eastAsia"/>
                <w:sz w:val="18"/>
                <w:szCs w:val="18"/>
                <w:lang w:eastAsia="zh-CN"/>
              </w:rPr>
              <w:t>艾滋病防治：</w:t>
            </w:r>
            <w:r>
              <w:rPr>
                <w:rFonts w:hint="eastAsia" w:ascii="宋体" w:hAnsi="宋体" w:eastAsia="宋体" w:cs="宋体"/>
                <w:color w:val="FF0000"/>
                <w:kern w:val="0"/>
                <w:sz w:val="20"/>
                <w:szCs w:val="20"/>
              </w:rPr>
              <w:t>≥</w:t>
            </w:r>
            <w:r>
              <w:rPr>
                <w:rFonts w:hint="eastAsia"/>
                <w:sz w:val="18"/>
                <w:szCs w:val="18"/>
                <w:lang w:eastAsia="zh-CN"/>
              </w:rPr>
              <w:t>管理病人</w:t>
            </w:r>
            <w:r>
              <w:rPr>
                <w:rFonts w:hint="eastAsia"/>
                <w:sz w:val="18"/>
                <w:szCs w:val="18"/>
                <w:lang w:val="en-US" w:eastAsia="zh-CN"/>
              </w:rPr>
              <w:t>112例</w:t>
            </w:r>
          </w:p>
        </w:tc>
        <w:tc>
          <w:tcPr>
            <w:tcW w:w="1612" w:type="dxa"/>
            <w:vAlign w:val="center"/>
          </w:tcPr>
          <w:p>
            <w:pPr>
              <w:rPr>
                <w:rFonts w:hint="default" w:eastAsia="宋体"/>
                <w:sz w:val="18"/>
                <w:szCs w:val="18"/>
                <w:lang w:val="en-US" w:eastAsia="zh-CN"/>
              </w:rPr>
            </w:pPr>
            <w:r>
              <w:rPr>
                <w:rFonts w:hint="eastAsia" w:ascii="宋体" w:hAnsi="宋体" w:eastAsia="宋体" w:cs="宋体"/>
                <w:color w:val="FF0000"/>
                <w:kern w:val="0"/>
                <w:sz w:val="20"/>
                <w:szCs w:val="20"/>
                <w:lang w:val="en-US" w:eastAsia="zh-CN"/>
              </w:rPr>
              <w:t>51.55万元</w:t>
            </w:r>
          </w:p>
        </w:tc>
        <w:tc>
          <w:tcPr>
            <w:tcW w:w="900" w:type="dxa"/>
            <w:vAlign w:val="center"/>
          </w:tcPr>
          <w:p>
            <w:pPr>
              <w:rPr>
                <w:rFonts w:hint="default" w:eastAsia="宋体" w:asciiTheme="minorHAnsi" w:hAnsiTheme="minorHAnsi" w:cstheme="minorBidi"/>
                <w:sz w:val="18"/>
                <w:szCs w:val="18"/>
                <w:lang w:val="en-US" w:eastAsia="zh-CN"/>
              </w:rPr>
            </w:pPr>
            <w:r>
              <w:rPr>
                <w:rFonts w:hint="eastAsia" w:ascii="宋体" w:hAnsi="宋体" w:eastAsia="宋体" w:cs="宋体"/>
                <w:color w:val="FF0000"/>
                <w:kern w:val="0"/>
                <w:sz w:val="20"/>
                <w:szCs w:val="20"/>
              </w:rPr>
              <w:t>≥</w:t>
            </w:r>
            <w:r>
              <w:rPr>
                <w:rFonts w:hint="eastAsia" w:ascii="宋体" w:hAnsi="宋体" w:eastAsia="宋体" w:cs="宋体"/>
                <w:color w:val="FF0000"/>
                <w:kern w:val="0"/>
                <w:sz w:val="20"/>
                <w:szCs w:val="20"/>
                <w:lang w:val="en-US" w:eastAsia="zh-CN"/>
              </w:rPr>
              <w:t>51.55万元</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asciiTheme="minorHAnsi" w:hAnsiTheme="minorHAnsi" w:eastAsiaTheme="minorEastAsia" w:cstheme="minorBidi"/>
                <w:sz w:val="18"/>
                <w:szCs w:val="18"/>
                <w:lang w:eastAsia="zh-CN"/>
              </w:rPr>
            </w:pPr>
            <w:r>
              <w:rPr>
                <w:rFonts w:hint="eastAsia"/>
                <w:sz w:val="18"/>
                <w:szCs w:val="18"/>
                <w:lang w:eastAsia="zh-CN"/>
              </w:rPr>
              <w:t>结核病防治：</w:t>
            </w:r>
            <w:r>
              <w:rPr>
                <w:rFonts w:hint="eastAsia" w:ascii="宋体" w:hAnsi="宋体" w:eastAsia="宋体" w:cs="宋体"/>
                <w:color w:val="FF0000"/>
                <w:kern w:val="0"/>
                <w:sz w:val="20"/>
                <w:szCs w:val="20"/>
              </w:rPr>
              <w:t>≥</w:t>
            </w:r>
            <w:r>
              <w:rPr>
                <w:rFonts w:hint="eastAsia"/>
                <w:sz w:val="18"/>
                <w:szCs w:val="18"/>
                <w:lang w:eastAsia="zh-CN"/>
              </w:rPr>
              <w:t>管理病人</w:t>
            </w:r>
            <w:r>
              <w:rPr>
                <w:rFonts w:hint="eastAsia"/>
                <w:sz w:val="18"/>
                <w:szCs w:val="18"/>
                <w:lang w:val="en-US" w:eastAsia="zh-CN"/>
              </w:rPr>
              <w:t>97例，转诊93例。</w:t>
            </w:r>
          </w:p>
        </w:tc>
        <w:tc>
          <w:tcPr>
            <w:tcW w:w="1612" w:type="dxa"/>
            <w:vAlign w:val="center"/>
          </w:tcPr>
          <w:p>
            <w:pPr>
              <w:rPr>
                <w:rFonts w:hint="default" w:eastAsia="宋体"/>
                <w:sz w:val="18"/>
                <w:szCs w:val="18"/>
                <w:lang w:val="en-US" w:eastAsia="zh-CN"/>
              </w:rPr>
            </w:pPr>
            <w:r>
              <w:rPr>
                <w:rFonts w:hint="eastAsia" w:ascii="宋体" w:hAnsi="宋体" w:eastAsia="宋体" w:cs="宋体"/>
                <w:color w:val="FF0000"/>
                <w:kern w:val="0"/>
                <w:sz w:val="20"/>
                <w:szCs w:val="20"/>
                <w:lang w:val="en-US" w:eastAsia="zh-CN"/>
              </w:rPr>
              <w:t>36.22万元</w:t>
            </w:r>
          </w:p>
        </w:tc>
        <w:tc>
          <w:tcPr>
            <w:tcW w:w="900" w:type="dxa"/>
            <w:vAlign w:val="center"/>
          </w:tcPr>
          <w:p>
            <w:pPr>
              <w:rPr>
                <w:rFonts w:hint="default" w:eastAsia="宋体" w:asciiTheme="minorHAnsi" w:hAnsiTheme="minorHAnsi" w:cstheme="minorBidi"/>
                <w:sz w:val="18"/>
                <w:szCs w:val="18"/>
                <w:lang w:val="en-US" w:eastAsia="zh-CN"/>
              </w:rPr>
            </w:pPr>
            <w:r>
              <w:rPr>
                <w:rFonts w:hint="eastAsia" w:ascii="宋体" w:hAnsi="宋体" w:eastAsia="宋体" w:cs="宋体"/>
                <w:color w:val="FF0000"/>
                <w:kern w:val="0"/>
                <w:sz w:val="20"/>
                <w:szCs w:val="20"/>
              </w:rPr>
              <w:t>≥</w:t>
            </w:r>
            <w:r>
              <w:rPr>
                <w:rFonts w:hint="eastAsia" w:ascii="宋体" w:hAnsi="宋体" w:eastAsia="宋体" w:cs="宋体"/>
                <w:color w:val="FF0000"/>
                <w:kern w:val="0"/>
                <w:sz w:val="20"/>
                <w:szCs w:val="20"/>
                <w:lang w:val="en-US" w:eastAsia="zh-CN"/>
              </w:rPr>
              <w:t>36.22万元</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asciiTheme="minorHAnsi" w:hAnsiTheme="minorHAnsi" w:eastAsiaTheme="minorEastAsia" w:cstheme="minorBidi"/>
                <w:sz w:val="18"/>
                <w:szCs w:val="18"/>
                <w:lang w:eastAsia="zh-CN"/>
              </w:rPr>
            </w:pPr>
            <w:r>
              <w:rPr>
                <w:rFonts w:hint="eastAsia"/>
                <w:sz w:val="18"/>
                <w:szCs w:val="18"/>
                <w:lang w:eastAsia="zh-CN"/>
              </w:rPr>
              <w:t>精神卫生和慢性病防治：</w:t>
            </w:r>
            <w:r>
              <w:rPr>
                <w:rFonts w:hint="eastAsia" w:ascii="宋体" w:hAnsi="宋体" w:eastAsia="宋体" w:cs="宋体"/>
                <w:color w:val="FF0000"/>
                <w:kern w:val="0"/>
                <w:sz w:val="20"/>
                <w:szCs w:val="20"/>
              </w:rPr>
              <w:t>≥</w:t>
            </w:r>
            <w:r>
              <w:rPr>
                <w:rFonts w:hint="eastAsia"/>
                <w:sz w:val="18"/>
                <w:szCs w:val="18"/>
                <w:lang w:eastAsia="zh-CN"/>
              </w:rPr>
              <w:t>精神病管理达到</w:t>
            </w:r>
            <w:r>
              <w:rPr>
                <w:rFonts w:hint="eastAsia"/>
                <w:sz w:val="18"/>
                <w:szCs w:val="18"/>
                <w:lang w:val="en-US" w:eastAsia="zh-CN"/>
              </w:rPr>
              <w:t>90%以上，慢性病管理达到50%以上。</w:t>
            </w:r>
          </w:p>
        </w:tc>
        <w:tc>
          <w:tcPr>
            <w:tcW w:w="1612" w:type="dxa"/>
            <w:vAlign w:val="center"/>
          </w:tcPr>
          <w:p>
            <w:pPr>
              <w:rPr>
                <w:rFonts w:hint="default" w:eastAsia="宋体"/>
                <w:sz w:val="18"/>
                <w:szCs w:val="18"/>
                <w:lang w:val="en-US" w:eastAsia="zh-CN"/>
              </w:rPr>
            </w:pPr>
            <w:r>
              <w:rPr>
                <w:rFonts w:hint="eastAsia" w:ascii="宋体" w:hAnsi="宋体" w:eastAsia="宋体" w:cs="宋体"/>
                <w:color w:val="FF0000"/>
                <w:kern w:val="0"/>
                <w:sz w:val="20"/>
                <w:szCs w:val="20"/>
                <w:lang w:val="en-US" w:eastAsia="zh-CN"/>
              </w:rPr>
              <w:t>7.05万元</w:t>
            </w:r>
          </w:p>
        </w:tc>
        <w:tc>
          <w:tcPr>
            <w:tcW w:w="900" w:type="dxa"/>
            <w:vAlign w:val="center"/>
          </w:tcPr>
          <w:p>
            <w:pPr>
              <w:rPr>
                <w:rFonts w:hint="default" w:eastAsia="宋体" w:asciiTheme="minorHAnsi" w:hAnsiTheme="minorHAnsi" w:cstheme="minorBidi"/>
                <w:sz w:val="18"/>
                <w:szCs w:val="18"/>
                <w:lang w:val="en-US" w:eastAsia="zh-CN"/>
              </w:rPr>
            </w:pPr>
            <w:r>
              <w:rPr>
                <w:rFonts w:hint="eastAsia" w:ascii="宋体" w:hAnsi="宋体" w:eastAsia="宋体" w:cs="宋体"/>
                <w:color w:val="FF0000"/>
                <w:kern w:val="0"/>
                <w:sz w:val="20"/>
                <w:szCs w:val="20"/>
              </w:rPr>
              <w:t>≥</w:t>
            </w:r>
            <w:r>
              <w:rPr>
                <w:rFonts w:hint="eastAsia" w:ascii="宋体" w:hAnsi="宋体" w:eastAsia="宋体" w:cs="宋体"/>
                <w:color w:val="FF0000"/>
                <w:kern w:val="0"/>
                <w:sz w:val="20"/>
                <w:szCs w:val="20"/>
                <w:lang w:val="en-US" w:eastAsia="zh-CN"/>
              </w:rPr>
              <w:t>7.05万元</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rFonts w:hint="eastAsia" w:asciiTheme="minorHAnsi" w:hAnsiTheme="minorHAnsi" w:eastAsiaTheme="minorEastAsia" w:cstheme="minorBidi"/>
                <w:sz w:val="18"/>
                <w:szCs w:val="18"/>
                <w:lang w:eastAsia="zh-CN"/>
              </w:rPr>
            </w:pPr>
            <w:r>
              <w:rPr>
                <w:rFonts w:hint="eastAsia"/>
                <w:sz w:val="18"/>
                <w:szCs w:val="18"/>
                <w:lang w:eastAsia="zh-CN"/>
              </w:rPr>
              <w:t>新冠肺炎防控：</w:t>
            </w:r>
            <w:r>
              <w:rPr>
                <w:rFonts w:hint="eastAsia" w:ascii="宋体" w:hAnsi="宋体" w:eastAsia="宋体" w:cs="宋体"/>
                <w:color w:val="FF0000"/>
                <w:kern w:val="0"/>
                <w:sz w:val="20"/>
                <w:szCs w:val="20"/>
              </w:rPr>
              <w:t>≥</w:t>
            </w:r>
            <w:r>
              <w:rPr>
                <w:rFonts w:hint="eastAsia"/>
                <w:sz w:val="18"/>
                <w:szCs w:val="18"/>
                <w:lang w:eastAsia="zh-CN"/>
              </w:rPr>
              <w:t>按省推送人员和县防控指挥部要求开展防控工作。</w:t>
            </w:r>
          </w:p>
        </w:tc>
        <w:tc>
          <w:tcPr>
            <w:tcW w:w="1612" w:type="dxa"/>
            <w:vAlign w:val="center"/>
          </w:tcPr>
          <w:p>
            <w:pPr>
              <w:rPr>
                <w:rFonts w:hint="eastAsia" w:eastAsia="宋体"/>
                <w:sz w:val="18"/>
                <w:szCs w:val="18"/>
                <w:lang w:val="en-US" w:eastAsia="zh-CN"/>
              </w:rPr>
            </w:pPr>
            <w:r>
              <w:rPr>
                <w:rFonts w:hint="eastAsia" w:ascii="宋体" w:hAnsi="宋体" w:eastAsia="宋体" w:cs="宋体"/>
                <w:color w:val="FF0000"/>
                <w:kern w:val="0"/>
                <w:sz w:val="20"/>
                <w:szCs w:val="20"/>
                <w:lang w:val="en-US" w:eastAsia="zh-CN"/>
              </w:rPr>
              <w:t>4万元</w:t>
            </w:r>
          </w:p>
        </w:tc>
        <w:tc>
          <w:tcPr>
            <w:tcW w:w="900" w:type="dxa"/>
            <w:vAlign w:val="center"/>
          </w:tcPr>
          <w:p>
            <w:pPr>
              <w:rPr>
                <w:rFonts w:hint="eastAsia" w:eastAsia="宋体" w:asciiTheme="minorHAnsi" w:hAnsiTheme="minorHAnsi" w:cstheme="minorBidi"/>
                <w:sz w:val="18"/>
                <w:szCs w:val="18"/>
                <w:lang w:val="en-US" w:eastAsia="zh-CN"/>
              </w:rPr>
            </w:pPr>
            <w:r>
              <w:rPr>
                <w:rFonts w:hint="eastAsia" w:ascii="宋体" w:hAnsi="宋体" w:eastAsia="宋体" w:cs="宋体"/>
                <w:color w:val="FF0000"/>
                <w:kern w:val="0"/>
                <w:sz w:val="20"/>
                <w:szCs w:val="20"/>
              </w:rPr>
              <w:t>≥</w:t>
            </w:r>
            <w:r>
              <w:rPr>
                <w:rFonts w:hint="eastAsia" w:ascii="宋体" w:hAnsi="宋体" w:eastAsia="宋体" w:cs="宋体"/>
                <w:color w:val="FF0000"/>
                <w:kern w:val="0"/>
                <w:sz w:val="20"/>
                <w:szCs w:val="20"/>
                <w:lang w:val="en-US" w:eastAsia="zh-CN"/>
              </w:rPr>
              <w:t>4万元</w:t>
            </w: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Align w:val="center"/>
          </w:tcPr>
          <w:p>
            <w:pPr>
              <w:spacing w:line="120" w:lineRule="exact"/>
              <w:jc w:val="center"/>
              <w:rPr>
                <w:sz w:val="18"/>
                <w:szCs w:val="18"/>
              </w:rPr>
            </w:pPr>
            <w:r>
              <w:rPr>
                <w:rFonts w:hint="eastAsia" w:ascii="宋体" w:hAnsi="宋体" w:eastAsia="宋体"/>
                <w:color w:val="000000"/>
                <w:sz w:val="18"/>
                <w:szCs w:val="18"/>
              </w:rPr>
              <w:t>······</w:t>
            </w: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 w:hRule="atLeast"/>
        </w:trPr>
        <w:tc>
          <w:tcPr>
            <w:tcW w:w="440" w:type="dxa"/>
            <w:vMerge w:val="continue"/>
          </w:tcPr>
          <w:p>
            <w:pPr>
              <w:rPr>
                <w:sz w:val="18"/>
                <w:szCs w:val="18"/>
              </w:rPr>
            </w:pPr>
          </w:p>
        </w:tc>
        <w:tc>
          <w:tcPr>
            <w:tcW w:w="420" w:type="dxa"/>
            <w:vMerge w:val="restart"/>
            <w:vAlign w:val="top"/>
          </w:tcPr>
          <w:p>
            <w:pPr>
              <w:spacing w:before="1046" w:line="200" w:lineRule="exact"/>
              <w:jc w:val="center"/>
              <w:rPr>
                <w:sz w:val="18"/>
                <w:szCs w:val="18"/>
              </w:rPr>
            </w:pPr>
            <w:r>
              <w:rPr>
                <w:rFonts w:hint="eastAsia" w:ascii="宋体" w:hAnsi="宋体" w:eastAsia="宋体"/>
                <w:color w:val="000000"/>
                <w:sz w:val="18"/>
                <w:szCs w:val="18"/>
              </w:rPr>
              <w:t>效</w:t>
            </w:r>
          </w:p>
          <w:p>
            <w:pPr>
              <w:spacing w:line="184" w:lineRule="exact"/>
              <w:jc w:val="center"/>
              <w:rPr>
                <w:sz w:val="18"/>
                <w:szCs w:val="18"/>
              </w:rPr>
            </w:pPr>
            <w:r>
              <w:rPr>
                <w:rFonts w:hint="eastAsia" w:ascii="宋体" w:hAnsi="宋体" w:eastAsia="宋体"/>
                <w:color w:val="000000"/>
                <w:sz w:val="18"/>
                <w:szCs w:val="18"/>
              </w:rPr>
              <w:t>益</w:t>
            </w:r>
          </w:p>
          <w:p>
            <w:pPr>
              <w:spacing w:line="184" w:lineRule="exact"/>
              <w:jc w:val="center"/>
              <w:rPr>
                <w:sz w:val="18"/>
                <w:szCs w:val="18"/>
              </w:rPr>
            </w:pPr>
            <w:r>
              <w:rPr>
                <w:rFonts w:hint="eastAsia" w:ascii="宋体" w:hAnsi="宋体" w:eastAsia="宋体"/>
                <w:color w:val="000000"/>
                <w:sz w:val="18"/>
                <w:szCs w:val="18"/>
              </w:rPr>
              <w:t>指</w:t>
            </w:r>
          </w:p>
          <w:p>
            <w:pPr>
              <w:spacing w:line="200" w:lineRule="exact"/>
              <w:jc w:val="center"/>
              <w:rPr>
                <w:sz w:val="18"/>
                <w:szCs w:val="18"/>
              </w:rPr>
            </w:pPr>
            <w:r>
              <w:rPr>
                <w:rFonts w:hint="eastAsia" w:ascii="宋体" w:hAnsi="宋体" w:eastAsia="宋体"/>
                <w:color w:val="000000"/>
                <w:sz w:val="18"/>
                <w:szCs w:val="18"/>
              </w:rPr>
              <w:t>标</w:t>
            </w:r>
          </w:p>
        </w:tc>
        <w:tc>
          <w:tcPr>
            <w:tcW w:w="1100" w:type="dxa"/>
            <w:vMerge w:val="restart"/>
            <w:vAlign w:val="top"/>
          </w:tcPr>
          <w:p>
            <w:pPr>
              <w:spacing w:before="93" w:line="161" w:lineRule="exact"/>
              <w:jc w:val="center"/>
              <w:rPr>
                <w:sz w:val="18"/>
                <w:szCs w:val="18"/>
              </w:rPr>
            </w:pPr>
            <w:r>
              <w:rPr>
                <w:rFonts w:hint="eastAsia" w:ascii="宋体" w:hAnsi="宋体" w:eastAsia="宋体"/>
                <w:color w:val="000000"/>
                <w:sz w:val="18"/>
                <w:szCs w:val="18"/>
              </w:rPr>
              <w:t>经济效益</w:t>
            </w:r>
          </w:p>
          <w:p>
            <w:pPr>
              <w:spacing w:line="144" w:lineRule="exact"/>
              <w:jc w:val="center"/>
              <w:rPr>
                <w:sz w:val="18"/>
                <w:szCs w:val="18"/>
              </w:rPr>
            </w:pPr>
            <w:r>
              <w:rPr>
                <w:rFonts w:hint="eastAsia" w:ascii="宋体" w:hAnsi="宋体" w:eastAsia="宋体"/>
                <w:color w:val="000000"/>
                <w:sz w:val="18"/>
                <w:szCs w:val="18"/>
              </w:rPr>
              <w:t>指标</w:t>
            </w:r>
          </w:p>
        </w:tc>
        <w:tc>
          <w:tcPr>
            <w:tcW w:w="2528" w:type="dxa"/>
            <w:gridSpan w:val="2"/>
            <w:vAlign w:val="center"/>
          </w:tcPr>
          <w:p>
            <w:pPr>
              <w:rPr>
                <w:rFonts w:hint="eastAsia" w:eastAsiaTheme="minorEastAsia"/>
                <w:sz w:val="18"/>
                <w:szCs w:val="18"/>
                <w:lang w:val="en-US" w:eastAsia="zh-CN"/>
              </w:rPr>
            </w:pPr>
            <w:r>
              <w:rPr>
                <w:rFonts w:hint="eastAsia"/>
                <w:sz w:val="18"/>
                <w:szCs w:val="18"/>
                <w:lang w:eastAsia="zh-CN"/>
              </w:rPr>
              <w:t>做好各项传染病防控工作与精神卫生和慢性病防治和免疫规划工作，保障全人民身体健康和生命安全，减少经济损失产生效益。</w:t>
            </w:r>
          </w:p>
        </w:tc>
        <w:tc>
          <w:tcPr>
            <w:tcW w:w="1612" w:type="dxa"/>
            <w:vAlign w:val="center"/>
          </w:tcPr>
          <w:p>
            <w:pPr>
              <w:rPr>
                <w:rFonts w:hint="default" w:eastAsiaTheme="minorEastAsia"/>
                <w:sz w:val="18"/>
                <w:szCs w:val="18"/>
                <w:lang w:val="en-US" w:eastAsia="zh-CN"/>
              </w:rPr>
            </w:pPr>
            <w:r>
              <w:rPr>
                <w:rFonts w:hint="eastAsia" w:ascii="宋体" w:hAnsi="宋体" w:eastAsia="宋体" w:cs="宋体"/>
                <w:color w:val="FF0000"/>
                <w:kern w:val="0"/>
                <w:sz w:val="20"/>
                <w:szCs w:val="20"/>
              </w:rPr>
              <w:t>≥</w:t>
            </w:r>
            <w:r>
              <w:rPr>
                <w:rFonts w:hint="eastAsia"/>
                <w:sz w:val="18"/>
                <w:szCs w:val="18"/>
                <w:lang w:val="en-US" w:eastAsia="zh-CN"/>
              </w:rPr>
              <w:t>90%</w:t>
            </w: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restart"/>
            <w:vAlign w:val="top"/>
          </w:tcPr>
          <w:p>
            <w:pPr>
              <w:spacing w:before="145" w:line="131" w:lineRule="exact"/>
              <w:jc w:val="center"/>
              <w:rPr>
                <w:sz w:val="18"/>
                <w:szCs w:val="18"/>
              </w:rPr>
            </w:pPr>
            <w:r>
              <w:rPr>
                <w:rFonts w:hint="eastAsia" w:ascii="宋体" w:hAnsi="宋体" w:eastAsia="宋体"/>
                <w:color w:val="000000"/>
                <w:sz w:val="18"/>
                <w:szCs w:val="18"/>
              </w:rPr>
              <w:t>社会效益</w:t>
            </w:r>
          </w:p>
          <w:p>
            <w:pPr>
              <w:spacing w:line="131" w:lineRule="exact"/>
              <w:jc w:val="center"/>
              <w:rPr>
                <w:sz w:val="18"/>
                <w:szCs w:val="18"/>
              </w:rPr>
            </w:pPr>
            <w:r>
              <w:rPr>
                <w:rFonts w:hint="eastAsia" w:ascii="宋体" w:hAnsi="宋体" w:eastAsia="宋体"/>
                <w:color w:val="000000"/>
                <w:sz w:val="18"/>
                <w:szCs w:val="18"/>
              </w:rPr>
              <w:t>指标</w:t>
            </w:r>
          </w:p>
        </w:tc>
        <w:tc>
          <w:tcPr>
            <w:tcW w:w="2528" w:type="dxa"/>
            <w:gridSpan w:val="2"/>
            <w:vAlign w:val="center"/>
          </w:tcPr>
          <w:p>
            <w:pPr>
              <w:rPr>
                <w:rFonts w:hint="eastAsia" w:eastAsiaTheme="minorEastAsia"/>
                <w:sz w:val="18"/>
                <w:szCs w:val="18"/>
                <w:lang w:eastAsia="zh-CN"/>
              </w:rPr>
            </w:pPr>
            <w:r>
              <w:rPr>
                <w:rFonts w:hint="eastAsia"/>
                <w:sz w:val="18"/>
                <w:szCs w:val="18"/>
                <w:lang w:eastAsia="zh-CN"/>
              </w:rPr>
              <w:t>做好各项传染病防控工作与精神卫生和慢性病防治和免疫规划工作，保障全人民身体健康和生命安全，给社会带来效益。</w:t>
            </w:r>
          </w:p>
        </w:tc>
        <w:tc>
          <w:tcPr>
            <w:tcW w:w="1612" w:type="dxa"/>
            <w:vAlign w:val="center"/>
          </w:tcPr>
          <w:p>
            <w:pPr>
              <w:rPr>
                <w:rFonts w:hint="default" w:eastAsiaTheme="minorEastAsia"/>
                <w:sz w:val="18"/>
                <w:szCs w:val="18"/>
                <w:lang w:val="en-US" w:eastAsia="zh-CN"/>
              </w:rPr>
            </w:pPr>
            <w:r>
              <w:rPr>
                <w:rFonts w:hint="eastAsia" w:ascii="宋体" w:hAnsi="宋体" w:eastAsia="宋体" w:cs="宋体"/>
                <w:color w:val="FF0000"/>
                <w:kern w:val="0"/>
                <w:sz w:val="20"/>
                <w:szCs w:val="20"/>
              </w:rPr>
              <w:t>≥</w:t>
            </w:r>
            <w:r>
              <w:rPr>
                <w:rFonts w:hint="eastAsia"/>
                <w:sz w:val="18"/>
                <w:szCs w:val="18"/>
                <w:lang w:val="en-US" w:eastAsia="zh-CN"/>
              </w:rPr>
              <w:t>99%</w:t>
            </w: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restart"/>
            <w:vAlign w:val="top"/>
          </w:tcPr>
          <w:p>
            <w:pPr>
              <w:spacing w:before="123" w:line="144" w:lineRule="exact"/>
              <w:jc w:val="center"/>
              <w:rPr>
                <w:sz w:val="18"/>
                <w:szCs w:val="18"/>
              </w:rPr>
            </w:pPr>
            <w:r>
              <w:rPr>
                <w:rFonts w:hint="eastAsia" w:ascii="宋体" w:hAnsi="宋体" w:eastAsia="宋体"/>
                <w:color w:val="000000"/>
                <w:sz w:val="18"/>
                <w:szCs w:val="18"/>
              </w:rPr>
              <w:t>生态效益</w:t>
            </w:r>
          </w:p>
          <w:p>
            <w:pPr>
              <w:spacing w:line="144" w:lineRule="exact"/>
              <w:jc w:val="center"/>
              <w:rPr>
                <w:sz w:val="18"/>
                <w:szCs w:val="18"/>
              </w:rPr>
            </w:pPr>
            <w:r>
              <w:rPr>
                <w:rFonts w:hint="eastAsia" w:ascii="宋体" w:hAnsi="宋体" w:eastAsia="宋体"/>
                <w:color w:val="000000"/>
                <w:sz w:val="18"/>
                <w:szCs w:val="18"/>
              </w:rPr>
              <w:t>指标</w:t>
            </w:r>
          </w:p>
        </w:tc>
        <w:tc>
          <w:tcPr>
            <w:tcW w:w="2528" w:type="dxa"/>
            <w:gridSpan w:val="2"/>
            <w:vAlign w:val="center"/>
          </w:tcPr>
          <w:p>
            <w:pPr>
              <w:rPr>
                <w:rFonts w:hint="eastAsia" w:eastAsiaTheme="minorEastAsia"/>
                <w:sz w:val="18"/>
                <w:szCs w:val="18"/>
                <w:lang w:eastAsia="zh-CN"/>
              </w:rPr>
            </w:pPr>
            <w:r>
              <w:rPr>
                <w:rFonts w:hint="eastAsia"/>
                <w:sz w:val="18"/>
                <w:szCs w:val="18"/>
                <w:lang w:eastAsia="zh-CN"/>
              </w:rPr>
              <w:t>无</w:t>
            </w: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restart"/>
            <w:vAlign w:val="top"/>
          </w:tcPr>
          <w:p>
            <w:pPr>
              <w:spacing w:before="135" w:line="146" w:lineRule="exact"/>
              <w:jc w:val="center"/>
              <w:rPr>
                <w:sz w:val="18"/>
                <w:szCs w:val="18"/>
              </w:rPr>
            </w:pPr>
            <w:r>
              <w:rPr>
                <w:rFonts w:hint="eastAsia" w:ascii="宋体" w:hAnsi="宋体" w:eastAsia="宋体"/>
                <w:color w:val="000000"/>
                <w:sz w:val="18"/>
                <w:szCs w:val="18"/>
              </w:rPr>
              <w:t>可持续影响</w:t>
            </w:r>
          </w:p>
          <w:p>
            <w:pPr>
              <w:spacing w:line="131" w:lineRule="exact"/>
              <w:jc w:val="center"/>
              <w:rPr>
                <w:sz w:val="18"/>
                <w:szCs w:val="18"/>
              </w:rPr>
            </w:pPr>
            <w:r>
              <w:rPr>
                <w:rFonts w:hint="eastAsia" w:ascii="宋体" w:hAnsi="宋体" w:eastAsia="宋体"/>
                <w:color w:val="000000"/>
                <w:sz w:val="18"/>
                <w:szCs w:val="18"/>
              </w:rPr>
              <w:t>指标</w:t>
            </w:r>
          </w:p>
        </w:tc>
        <w:tc>
          <w:tcPr>
            <w:tcW w:w="2528" w:type="dxa"/>
            <w:gridSpan w:val="2"/>
            <w:vAlign w:val="center"/>
          </w:tcPr>
          <w:p>
            <w:pPr>
              <w:rPr>
                <w:sz w:val="18"/>
                <w:szCs w:val="18"/>
              </w:rPr>
            </w:pPr>
            <w:r>
              <w:rPr>
                <w:rFonts w:hint="eastAsia"/>
                <w:sz w:val="18"/>
                <w:szCs w:val="18"/>
                <w:lang w:eastAsia="zh-CN"/>
              </w:rPr>
              <w:t>做好各项传染病防控工作与精神卫生和慢性病防治和免疫规划工作，保障全人民身体健康和生命安全，给社会带来效益。减少经济损失产生效益。</w:t>
            </w:r>
          </w:p>
        </w:tc>
        <w:tc>
          <w:tcPr>
            <w:tcW w:w="1612" w:type="dxa"/>
            <w:vAlign w:val="center"/>
          </w:tcPr>
          <w:p>
            <w:pPr>
              <w:rPr>
                <w:rFonts w:hint="default" w:eastAsiaTheme="minorEastAsia"/>
                <w:sz w:val="18"/>
                <w:szCs w:val="18"/>
                <w:lang w:val="en-US" w:eastAsia="zh-CN"/>
              </w:rPr>
            </w:pPr>
            <w:r>
              <w:rPr>
                <w:rFonts w:hint="eastAsia" w:ascii="宋体" w:hAnsi="宋体" w:eastAsia="宋体" w:cs="宋体"/>
                <w:color w:val="FF0000"/>
                <w:kern w:val="0"/>
                <w:sz w:val="20"/>
                <w:szCs w:val="20"/>
              </w:rPr>
              <w:t>≥</w:t>
            </w:r>
            <w:r>
              <w:rPr>
                <w:rFonts w:hint="eastAsia"/>
                <w:sz w:val="18"/>
                <w:szCs w:val="18"/>
                <w:lang w:val="en-US" w:eastAsia="zh-CN"/>
              </w:rPr>
              <w:t>100%</w:t>
            </w: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Align w:val="bottom"/>
          </w:tcPr>
          <w:p>
            <w:pPr>
              <w:spacing w:line="100" w:lineRule="exact"/>
              <w:jc w:val="center"/>
              <w:rPr>
                <w:sz w:val="18"/>
                <w:szCs w:val="18"/>
              </w:rPr>
            </w:pPr>
            <w:r>
              <w:rPr>
                <w:rFonts w:hint="eastAsia" w:ascii="宋体" w:hAnsi="宋体" w:eastAsia="宋体"/>
                <w:color w:val="000000"/>
                <w:sz w:val="18"/>
                <w:szCs w:val="18"/>
              </w:rPr>
              <w:t>······</w:t>
            </w: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60" w:hRule="atLeast"/>
        </w:trPr>
        <w:tc>
          <w:tcPr>
            <w:tcW w:w="440" w:type="dxa"/>
            <w:vMerge w:val="continue"/>
          </w:tcPr>
          <w:p>
            <w:pPr>
              <w:rPr>
                <w:sz w:val="18"/>
                <w:szCs w:val="18"/>
              </w:rPr>
            </w:pPr>
          </w:p>
        </w:tc>
        <w:tc>
          <w:tcPr>
            <w:tcW w:w="420" w:type="dxa"/>
            <w:vMerge w:val="restart"/>
            <w:vAlign w:val="top"/>
          </w:tcPr>
          <w:p>
            <w:pPr>
              <w:spacing w:before="133" w:line="131" w:lineRule="exact"/>
              <w:jc w:val="center"/>
              <w:rPr>
                <w:sz w:val="18"/>
                <w:szCs w:val="18"/>
              </w:rPr>
            </w:pPr>
            <w:r>
              <w:rPr>
                <w:rFonts w:hint="eastAsia" w:ascii="宋体" w:hAnsi="宋体" w:eastAsia="宋体"/>
                <w:color w:val="000000"/>
                <w:sz w:val="18"/>
                <w:szCs w:val="18"/>
              </w:rPr>
              <w:t>满意</w:t>
            </w:r>
          </w:p>
          <w:p>
            <w:pPr>
              <w:spacing w:line="146" w:lineRule="exact"/>
              <w:jc w:val="center"/>
              <w:rPr>
                <w:sz w:val="18"/>
                <w:szCs w:val="18"/>
              </w:rPr>
            </w:pPr>
            <w:r>
              <w:rPr>
                <w:rFonts w:hint="eastAsia" w:ascii="宋体" w:hAnsi="宋体" w:eastAsia="宋体"/>
                <w:color w:val="000000"/>
                <w:sz w:val="18"/>
                <w:szCs w:val="18"/>
              </w:rPr>
              <w:t>度指</w:t>
            </w:r>
          </w:p>
          <w:p>
            <w:pPr>
              <w:spacing w:line="155" w:lineRule="exact"/>
              <w:jc w:val="center"/>
              <w:rPr>
                <w:sz w:val="18"/>
                <w:szCs w:val="18"/>
              </w:rPr>
            </w:pPr>
            <w:r>
              <w:rPr>
                <w:rFonts w:hint="eastAsia" w:ascii="宋体" w:hAnsi="宋体" w:eastAsia="宋体"/>
                <w:color w:val="000000"/>
                <w:sz w:val="18"/>
                <w:szCs w:val="18"/>
              </w:rPr>
              <w:t>标</w:t>
            </w:r>
          </w:p>
        </w:tc>
        <w:tc>
          <w:tcPr>
            <w:tcW w:w="1100" w:type="dxa"/>
            <w:vMerge w:val="restart"/>
            <w:vAlign w:val="top"/>
          </w:tcPr>
          <w:p>
            <w:pPr>
              <w:spacing w:before="130" w:line="131" w:lineRule="exact"/>
              <w:jc w:val="center"/>
              <w:rPr>
                <w:sz w:val="18"/>
                <w:szCs w:val="18"/>
              </w:rPr>
            </w:pPr>
            <w:r>
              <w:rPr>
                <w:rFonts w:hint="eastAsia" w:ascii="宋体" w:hAnsi="宋体" w:eastAsia="宋体"/>
                <w:color w:val="000000"/>
                <w:sz w:val="18"/>
                <w:szCs w:val="18"/>
              </w:rPr>
              <w:t>服务对象</w:t>
            </w:r>
          </w:p>
          <w:p>
            <w:pPr>
              <w:spacing w:line="146" w:lineRule="exact"/>
              <w:jc w:val="center"/>
              <w:rPr>
                <w:sz w:val="18"/>
                <w:szCs w:val="18"/>
              </w:rPr>
            </w:pPr>
            <w:r>
              <w:rPr>
                <w:rFonts w:hint="eastAsia" w:ascii="宋体" w:hAnsi="宋体" w:eastAsia="宋体"/>
                <w:color w:val="000000"/>
                <w:sz w:val="18"/>
                <w:szCs w:val="18"/>
              </w:rPr>
              <w:t>满意度指标</w:t>
            </w:r>
          </w:p>
        </w:tc>
        <w:tc>
          <w:tcPr>
            <w:tcW w:w="2528" w:type="dxa"/>
            <w:gridSpan w:val="2"/>
            <w:vAlign w:val="center"/>
          </w:tcPr>
          <w:p>
            <w:pPr>
              <w:rPr>
                <w:sz w:val="18"/>
                <w:szCs w:val="18"/>
              </w:rPr>
            </w:pPr>
            <w:r>
              <w:rPr>
                <w:rFonts w:hint="eastAsia"/>
                <w:sz w:val="18"/>
                <w:szCs w:val="18"/>
                <w:lang w:eastAsia="zh-CN"/>
              </w:rPr>
              <w:t>做好各项传染病防控工作与精神卫生和慢性病防治和免疫规划工作，保障全人民身体健康和生命安全，给社会带来效益。减少经济损失产生效益。</w:t>
            </w:r>
          </w:p>
        </w:tc>
        <w:tc>
          <w:tcPr>
            <w:tcW w:w="1612" w:type="dxa"/>
            <w:vAlign w:val="center"/>
          </w:tcPr>
          <w:p>
            <w:pPr>
              <w:rPr>
                <w:rFonts w:hint="default" w:eastAsiaTheme="minorEastAsia"/>
                <w:sz w:val="18"/>
                <w:szCs w:val="18"/>
                <w:lang w:val="en-US" w:eastAsia="zh-CN"/>
              </w:rPr>
            </w:pPr>
            <w:r>
              <w:rPr>
                <w:rFonts w:hint="eastAsia" w:ascii="宋体" w:hAnsi="宋体" w:eastAsia="宋体" w:cs="宋体"/>
                <w:color w:val="FF0000"/>
                <w:kern w:val="0"/>
                <w:sz w:val="20"/>
                <w:szCs w:val="20"/>
              </w:rPr>
              <w:t>≥</w:t>
            </w:r>
            <w:r>
              <w:rPr>
                <w:rFonts w:hint="eastAsia"/>
                <w:sz w:val="18"/>
                <w:szCs w:val="18"/>
                <w:lang w:val="en-US" w:eastAsia="zh-CN"/>
              </w:rPr>
              <w:t>100%</w:t>
            </w: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8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00" w:hRule="atLeast"/>
        </w:trPr>
        <w:tc>
          <w:tcPr>
            <w:tcW w:w="440" w:type="dxa"/>
            <w:vMerge w:val="continue"/>
          </w:tcPr>
          <w:p>
            <w:pPr>
              <w:rPr>
                <w:sz w:val="18"/>
                <w:szCs w:val="18"/>
              </w:rPr>
            </w:pPr>
          </w:p>
        </w:tc>
        <w:tc>
          <w:tcPr>
            <w:tcW w:w="420" w:type="dxa"/>
            <w:vMerge w:val="continue"/>
          </w:tcPr>
          <w:p>
            <w:pPr>
              <w:rPr>
                <w:sz w:val="18"/>
                <w:szCs w:val="18"/>
              </w:rPr>
            </w:pPr>
          </w:p>
        </w:tc>
        <w:tc>
          <w:tcPr>
            <w:tcW w:w="1100" w:type="dxa"/>
            <w:vMerge w:val="continue"/>
          </w:tcPr>
          <w:p>
            <w:pPr>
              <w:rPr>
                <w:sz w:val="18"/>
                <w:szCs w:val="18"/>
              </w:rPr>
            </w:pP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20" w:hRule="atLeast"/>
        </w:trPr>
        <w:tc>
          <w:tcPr>
            <w:tcW w:w="440" w:type="dxa"/>
            <w:vMerge w:val="continue"/>
          </w:tcPr>
          <w:p>
            <w:pPr>
              <w:rPr>
                <w:sz w:val="18"/>
                <w:szCs w:val="18"/>
              </w:rPr>
            </w:pPr>
          </w:p>
        </w:tc>
        <w:tc>
          <w:tcPr>
            <w:tcW w:w="420" w:type="dxa"/>
            <w:vMerge w:val="continue"/>
          </w:tcPr>
          <w:p>
            <w:pPr>
              <w:rPr>
                <w:sz w:val="18"/>
                <w:szCs w:val="18"/>
              </w:rPr>
            </w:pPr>
          </w:p>
        </w:tc>
        <w:tc>
          <w:tcPr>
            <w:tcW w:w="1100" w:type="dxa"/>
            <w:vAlign w:val="center"/>
          </w:tcPr>
          <w:p>
            <w:pPr>
              <w:spacing w:line="120" w:lineRule="exact"/>
              <w:jc w:val="center"/>
              <w:rPr>
                <w:sz w:val="18"/>
                <w:szCs w:val="18"/>
              </w:rPr>
            </w:pPr>
            <w:r>
              <w:rPr>
                <w:rFonts w:hint="eastAsia" w:ascii="宋体" w:hAnsi="宋体" w:eastAsia="宋体"/>
                <w:color w:val="000000"/>
                <w:sz w:val="18"/>
                <w:szCs w:val="18"/>
              </w:rPr>
              <w:t>······</w:t>
            </w:r>
          </w:p>
        </w:tc>
        <w:tc>
          <w:tcPr>
            <w:tcW w:w="2528" w:type="dxa"/>
            <w:gridSpan w:val="2"/>
            <w:vAlign w:val="center"/>
          </w:tcPr>
          <w:p>
            <w:pPr>
              <w:rPr>
                <w:sz w:val="18"/>
                <w:szCs w:val="18"/>
              </w:rPr>
            </w:pPr>
          </w:p>
        </w:tc>
        <w:tc>
          <w:tcPr>
            <w:tcW w:w="1612" w:type="dxa"/>
            <w:vAlign w:val="center"/>
          </w:tcPr>
          <w:p>
            <w:pPr>
              <w:rPr>
                <w:sz w:val="18"/>
                <w:szCs w:val="18"/>
              </w:rPr>
            </w:pPr>
          </w:p>
        </w:tc>
        <w:tc>
          <w:tcPr>
            <w:tcW w:w="900" w:type="dxa"/>
            <w:vAlign w:val="center"/>
          </w:tcPr>
          <w:p>
            <w:pPr>
              <w:rPr>
                <w:sz w:val="18"/>
                <w:szCs w:val="18"/>
              </w:rPr>
            </w:pPr>
          </w:p>
        </w:tc>
        <w:tc>
          <w:tcPr>
            <w:tcW w:w="17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40" w:hRule="atLeast"/>
        </w:trPr>
        <w:tc>
          <w:tcPr>
            <w:tcW w:w="440" w:type="dxa"/>
            <w:vAlign w:val="center"/>
          </w:tcPr>
          <w:p>
            <w:pPr>
              <w:spacing w:line="196" w:lineRule="exact"/>
              <w:jc w:val="center"/>
              <w:rPr>
                <w:sz w:val="18"/>
                <w:szCs w:val="18"/>
              </w:rPr>
            </w:pPr>
            <w:r>
              <w:rPr>
                <w:rFonts w:hint="eastAsia" w:ascii="宋体" w:hAnsi="宋体" w:eastAsia="宋体"/>
                <w:color w:val="000000"/>
                <w:sz w:val="18"/>
                <w:szCs w:val="18"/>
              </w:rPr>
              <w:t>说明</w:t>
            </w:r>
          </w:p>
        </w:tc>
        <w:tc>
          <w:tcPr>
            <w:tcW w:w="8320" w:type="dxa"/>
            <w:gridSpan w:val="7"/>
            <w:vAlign w:val="center"/>
          </w:tcPr>
          <w:p>
            <w:pPr>
              <w:spacing w:line="272" w:lineRule="exact"/>
              <w:ind w:firstLine="0"/>
              <w:jc w:val="both"/>
              <w:rPr>
                <w:sz w:val="18"/>
                <w:szCs w:val="18"/>
              </w:rPr>
            </w:pPr>
            <w:r>
              <w:rPr>
                <w:rFonts w:hint="eastAsia" w:ascii="宋体" w:hAnsi="宋体" w:eastAsia="宋体"/>
                <w:color w:val="000000"/>
                <w:sz w:val="18"/>
                <w:szCs w:val="18"/>
              </w:rPr>
              <w:t>无</w:t>
            </w:r>
          </w:p>
        </w:tc>
      </w:tr>
    </w:tbl>
    <w:p>
      <w:pPr>
        <w:spacing w:line="286" w:lineRule="exact"/>
        <w:ind w:firstLine="140"/>
        <w:jc w:val="both"/>
      </w:pPr>
      <w:r>
        <w:rPr>
          <w:color w:val="000000"/>
          <w:sz w:val="18"/>
          <w:szCs w:val="18"/>
        </w:rPr>
        <w:t>说明</w:t>
      </w:r>
    </w:p>
    <w:p>
      <w:pPr>
        <w:spacing w:line="257" w:lineRule="exact"/>
        <w:ind w:firstLine="100"/>
        <w:jc w:val="both"/>
      </w:pPr>
      <w:r>
        <w:rPr>
          <w:color w:val="000000"/>
          <w:sz w:val="18"/>
        </w:rPr>
        <w:t>注：1．资金使用单位按项目绩效目标填报，主管部门汇总时按区域绩效目标填报。</w:t>
      </w:r>
    </w:p>
    <w:p>
      <w:pPr>
        <w:spacing w:line="200" w:lineRule="exact"/>
        <w:ind w:firstLine="440"/>
        <w:jc w:val="both"/>
      </w:pPr>
      <w:r>
        <w:rPr>
          <w:color w:val="000000"/>
          <w:sz w:val="14"/>
        </w:rPr>
        <w:t>2．其他资金包括与中央财政资金、地方财政资金共同投入到同一项目的自有资金、社会资金，以及以前年度的结转结余资金等。</w:t>
      </w:r>
    </w:p>
    <w:p>
      <w:pPr>
        <w:spacing w:line="200" w:lineRule="exact"/>
        <w:ind w:firstLine="360"/>
        <w:jc w:val="both"/>
      </w:pPr>
      <w:r>
        <w:rPr>
          <w:color w:val="000000"/>
          <w:sz w:val="14"/>
        </w:rPr>
        <w:t>3．全年执行数是指按照国库集中支付制度要求所形成的实际支出。</w:t>
      </w:r>
    </w:p>
    <w:p>
      <w:pPr>
        <w:spacing w:line="200" w:lineRule="exact"/>
        <w:ind w:firstLine="440"/>
        <w:jc w:val="both"/>
      </w:pPr>
      <w:r>
        <w:rPr>
          <w:color w:val="000000"/>
          <w:sz w:val="14"/>
        </w:rPr>
        <w:t>4．定量指标。地方各级主管部门对资金使用单位填写的实际完成值汇总时，绝对值直接紧加计算，相对值按照资金额度加权平均计算，</w:t>
      </w:r>
    </w:p>
    <w:p>
      <w:pPr>
        <w:spacing w:line="200" w:lineRule="exact"/>
        <w:ind w:firstLine="440"/>
        <w:jc w:val="both"/>
      </w:pPr>
      <w:r>
        <w:rPr>
          <w:color w:val="000000"/>
          <w:sz w:val="14"/>
        </w:rPr>
        <w:t>5．定性指标。资金使用单位分别按照80％（含）-100％、60％（含）-80％、0％-60％合理填写实际完成值。地方各级主管部门汇总时，按照资金额度加权平均计算完成值。</w:t>
      </w:r>
    </w:p>
    <w:p>
      <w:pPr>
        <w:shd w:val="clear" w:color="auto" w:fill="FFFFFF"/>
        <w:snapToGrid w:val="0"/>
        <w:spacing w:line="360" w:lineRule="auto"/>
        <w:ind w:firstLine="4480" w:firstLineChars="1400"/>
        <w:jc w:val="left"/>
        <w:outlineLvl w:val="0"/>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D4E800"/>
    <w:multiLevelType w:val="singleLevel"/>
    <w:tmpl w:val="93D4E800"/>
    <w:lvl w:ilvl="0" w:tentative="0">
      <w:start w:val="1"/>
      <w:numFmt w:val="chineseCounting"/>
      <w:suff w:val="nothing"/>
      <w:lvlText w:val="（%1）"/>
      <w:lvlJc w:val="left"/>
      <w:pPr>
        <w:ind w:left="-10"/>
      </w:pPr>
      <w:rPr>
        <w:rFonts w:hint="eastAsia"/>
      </w:rPr>
    </w:lvl>
  </w:abstractNum>
  <w:abstractNum w:abstractNumId="1">
    <w:nsid w:val="A57CC79B"/>
    <w:multiLevelType w:val="singleLevel"/>
    <w:tmpl w:val="A57CC79B"/>
    <w:lvl w:ilvl="0" w:tentative="0">
      <w:start w:val="4"/>
      <w:numFmt w:val="chineseCounting"/>
      <w:suff w:val="nothing"/>
      <w:lvlText w:val="%1、"/>
      <w:lvlJc w:val="left"/>
      <w:rPr>
        <w:rFonts w:hint="eastAsia"/>
      </w:rPr>
    </w:lvl>
  </w:abstractNum>
  <w:abstractNum w:abstractNumId="2">
    <w:nsid w:val="BD38B437"/>
    <w:multiLevelType w:val="singleLevel"/>
    <w:tmpl w:val="BD38B437"/>
    <w:lvl w:ilvl="0" w:tentative="0">
      <w:start w:val="1"/>
      <w:numFmt w:val="chineseCounting"/>
      <w:suff w:val="nothing"/>
      <w:lvlText w:val="（%1）"/>
      <w:lvlJc w:val="left"/>
      <w:pPr>
        <w:ind w:left="600" w:leftChars="0" w:firstLine="0" w:firstLineChars="0"/>
      </w:pPr>
      <w:rPr>
        <w:rFonts w:hint="eastAsia"/>
      </w:rPr>
    </w:lvl>
  </w:abstractNum>
  <w:abstractNum w:abstractNumId="3">
    <w:nsid w:val="C8ADA7DD"/>
    <w:multiLevelType w:val="singleLevel"/>
    <w:tmpl w:val="C8ADA7DD"/>
    <w:lvl w:ilvl="0" w:tentative="0">
      <w:start w:val="1"/>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72B99"/>
    <w:rsid w:val="09D70EA2"/>
    <w:rsid w:val="19D72B99"/>
    <w:rsid w:val="1FBB34A0"/>
    <w:rsid w:val="20B5393A"/>
    <w:rsid w:val="235F09BB"/>
    <w:rsid w:val="247F7D83"/>
    <w:rsid w:val="29BE4341"/>
    <w:rsid w:val="2B36027D"/>
    <w:rsid w:val="4B165F8B"/>
    <w:rsid w:val="4D7A1E29"/>
    <w:rsid w:val="510F3D16"/>
    <w:rsid w:val="73FB3E60"/>
    <w:rsid w:val="79145F32"/>
    <w:rsid w:val="7A0927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Subtitle"/>
    <w:basedOn w:val="1"/>
    <w:next w:val="1"/>
    <w:qFormat/>
    <w:uiPriority w:val="11"/>
    <w:pPr>
      <w:spacing w:before="240" w:beforeLines="0" w:after="60" w:afterLines="0" w:line="312" w:lineRule="auto"/>
      <w:jc w:val="center"/>
      <w:outlineLvl w:val="1"/>
    </w:pPr>
    <w:rPr>
      <w:rFonts w:ascii="Cambria" w:hAnsi="Cambria"/>
      <w:b/>
      <w:bCs/>
      <w:kern w:val="28"/>
      <w:sz w:val="32"/>
      <w:szCs w:val="32"/>
    </w:rPr>
  </w:style>
  <w:style w:type="character" w:styleId="5">
    <w:name w:val="Strong"/>
    <w:basedOn w:val="4"/>
    <w:qFormat/>
    <w:uiPriority w:val="22"/>
    <w:rPr>
      <w:b/>
      <w:bCs/>
    </w:rPr>
  </w:style>
  <w:style w:type="character" w:styleId="6">
    <w:name w:val="Hyperlink"/>
    <w:basedOn w:val="4"/>
    <w:unhideWhenUsed/>
    <w:qFormat/>
    <w:uiPriority w:val="99"/>
    <w:rPr>
      <w:color w:val="0000FF"/>
      <w:u w:val="single"/>
    </w:rPr>
  </w:style>
  <w:style w:type="paragraph" w:customStyle="1" w:styleId="7">
    <w:name w:val="p0"/>
    <w:basedOn w:val="1"/>
    <w:qFormat/>
    <w:uiPriority w:val="0"/>
    <w:pPr>
      <w:widowControl/>
    </w:pPr>
    <w:rPr>
      <w:kern w:val="0"/>
    </w:rPr>
  </w:style>
  <w:style w:type="paragraph" w:customStyle="1" w:styleId="8">
    <w:name w:val="Default"/>
    <w:qFormat/>
    <w:uiPriority w:val="0"/>
    <w:pPr>
      <w:widowControl w:val="0"/>
      <w:autoSpaceDE w:val="0"/>
      <w:autoSpaceDN w:val="0"/>
      <w:adjustRightInd w:val="0"/>
    </w:pPr>
    <w:rPr>
      <w:rFonts w:ascii="微软雅黑" w:hAnsi="微软雅黑" w:eastAsia="宋体" w:cs="微软雅黑"/>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2020-12-11T09:21:00Z</dcterms:created>
  <dc:creator>Administrator</dc:creator>
  <cp:lastModifiedBy>Administrator</cp:lastModifiedBy>
  <dcterms:modified xsi:type="dcterms:W3CDTF">2022-03-08T05:06:43Z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C1F14DAB0D7A470C81834C799090E666</vt:lpwstr>
  </property>
</Properties>
</file>