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480" w:lineRule="atLeast"/>
        <w:jc w:val="center"/>
        <w:rPr>
          <w:rFonts w:ascii="黑体" w:hAnsi="黑体" w:eastAsia="黑体" w:cs="黑体"/>
          <w:color w:val="000000"/>
          <w:sz w:val="44"/>
          <w:szCs w:val="44"/>
          <w:shd w:val="clear" w:color="auto" w:fill="FFFFFF"/>
        </w:rPr>
      </w:pPr>
      <w:r>
        <w:rPr>
          <w:rFonts w:hint="eastAsia" w:ascii="黑体" w:hAnsi="黑体" w:eastAsia="黑体" w:cs="黑体"/>
          <w:color w:val="000000"/>
          <w:sz w:val="44"/>
          <w:szCs w:val="44"/>
          <w:shd w:val="clear" w:color="auto" w:fill="FFFFFF"/>
        </w:rPr>
        <w:t>绥宁县应急管理局2022年度部门整体支出绩效自评报告</w:t>
      </w:r>
    </w:p>
    <w:p>
      <w:pPr>
        <w:pStyle w:val="8"/>
        <w:widowControl/>
        <w:shd w:val="clear" w:color="auto" w:fill="FFFFFF"/>
        <w:spacing w:beforeAutospacing="0" w:afterAutospacing="0" w:line="480" w:lineRule="atLeast"/>
        <w:jc w:val="center"/>
        <w:rPr>
          <w:rFonts w:ascii="黑体" w:hAnsi="黑体" w:eastAsia="黑体" w:cs="黑体"/>
          <w:color w:val="000000"/>
          <w:sz w:val="44"/>
          <w:szCs w:val="44"/>
          <w:shd w:val="clear" w:color="auto" w:fill="FFFFFF"/>
        </w:rPr>
      </w:pPr>
    </w:p>
    <w:p>
      <w:pPr>
        <w:pStyle w:val="8"/>
        <w:widowControl/>
        <w:shd w:val="clear" w:color="auto" w:fill="FFFFFF"/>
        <w:spacing w:beforeAutospacing="0" w:afterAutospacing="0" w:line="480" w:lineRule="atLeast"/>
        <w:jc w:val="center"/>
        <w:rPr>
          <w:rFonts w:ascii="仿宋" w:hAnsi="仿宋" w:eastAsia="仿宋" w:cs="仿宋"/>
          <w:color w:val="000000"/>
          <w:sz w:val="44"/>
          <w:szCs w:val="44"/>
        </w:rPr>
      </w:pP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8"/>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8"/>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（1）负责应急管理工作，指导全县各乡镇各部门应对安全生产类、自然灾害类等突发事件和综合防灾减灾救灾工作。负责安全生产综合监督管理和工矿商贸行业安全生产监督管理工作。</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（2）组织编制全县应急体系建设、安全生产和综合防灾减灾规划，组织起草相关规范性文件，组织拟订相关政策和规划并监督实施。</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3）指导应急预案体系建设，建立完善事故灾难和自然灾害分级应对制度实施细则（办法），组织编制绥宁县总体应急预案和安全生产类、自然灾害类专项预案，综合协调应急预案衔接工作，组织开展预案演练，推动应急避难设施建设。</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（4）牵头推进全县统一的应急管理信息系统建设，负责信息传输渠道的规划和布局，建立监测预警和灾情报告制度，健全自然灾害信息资源获取和共享机制，依法统一发布灾情。</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5）组织指导协调安全生产类、自然灾害类等突发事件应急救援，承担县应对较大灾害指挥的相关工作，综合研判突发事件发展态势并提出应对建议，协助县委、县政府指定的负责同志组织较大灾害应急处置工作。</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（6）统一协调指挥各类应急专业队伍，建立应急协调联动机制，推进指挥平台对接，负责做好解放军和武警部队参与应急救援相关衔接工作。</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（7）统筹全县应急救援力量建设，负责消防、抗洪抢险、地震和地质灾害救援、生产安全事故救援等专业应急救援力量建设，指导各乡镇、相关部门及社会应急救援力量建设。</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（8）负责全县消防管理有关工作，指导乡镇消防监督、火灾预防、火灾扑救等工作。</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（9）</w:t>
      </w:r>
      <w:r>
        <w:rPr>
          <w:rFonts w:hint="eastAsia" w:ascii="仿宋" w:hAnsi="仿宋" w:eastAsia="仿宋" w:cs="仿宋"/>
          <w:sz w:val="32"/>
          <w:szCs w:val="32"/>
        </w:rPr>
        <w:t>负责全县防震减灾工作。</w:t>
      </w:r>
      <w:r>
        <w:rPr>
          <w:rFonts w:hint="eastAsia" w:ascii="仿宋" w:hAnsi="仿宋" w:eastAsia="仿宋"/>
          <w:sz w:val="32"/>
          <w:szCs w:val="32"/>
        </w:rPr>
        <w:t>指导协调全县森林火灾、水旱灾害、地震和地质灾害等防治工作，负责自然灾害综合监测预警工作，指导开展自然灾害综合风险评估工作。</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（10）组织协调灾害救助工作，组织指导灾情核查、损失评估、救灾捐赠工作，按权限管理、分配中央、省、市下达和县级救灾款物并监督使用。</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（11）依法行使安全生产综合监督管理职权，指导、协调、监督、检查县直有关部门和各乡镇人民政府安全生产工作，组织开展安全生产巡查、考核工作，协调解决安全生产中的重大问题。</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12）按照分级、属地原则，依法监督检查工矿商贸生产经营单位贯彻执行安全生产法律法规情况及其安全生产条件和有关设备（特种设备除外）、材料、劳动防护用品的安全生产管理工作。依法组织和指导监督实施安全生产准入制度。负责危险化学品安全监督管理综合工作和烟花爆竹经营单位安全生产监督管理工作。</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（13）依法承担组织生产安全事故的调查处理和办理结案工作，监督事故查处和责任追究落实情况。组织开展自然灾害类突发事件的调查评估工作。</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（14）开展应急管理对外交流与合作，组织参与安全生产类、自然灾害类等突发事件的对外救援工作。</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（15）制定全县应急物资储备和应急救援装备规划并组织实施，会同县发展和改革局等部门建立健全应急物资信息平台和调拨制度，在救灾时统一调度。</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16）负责应急管理、安全生产宣传教育和培训工作，组织指导应急管理、安全生产的科学技术研究、推广应用和信息化建设工作；组织协调县内外应急管理、安全生产专家库管理；监督检查全县应急管理工作，依法监督管理安全生产各类服务机构。</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（17）承担县防汛抗旱指挥部日常工作，协调县防汛抗旱指挥部成员单位的相关工作，组织执行省、市防汛抗旱指挥部和县防汛抗旱指挥部的指示、命令。</w:t>
      </w:r>
    </w:p>
    <w:p>
      <w:pPr>
        <w:pStyle w:val="8"/>
        <w:shd w:val="clear" w:color="auto" w:fill="FFFFFF"/>
        <w:adjustRightInd w:val="0"/>
        <w:snapToGrid w:val="0"/>
        <w:spacing w:beforeAutospacing="0" w:afterAutospacing="0" w:line="560" w:lineRule="exact"/>
        <w:ind w:right="24" w:firstLine="640" w:firstLineChars="200"/>
        <w:jc w:val="both"/>
        <w:rPr>
          <w:rFonts w:ascii="仿宋" w:hAnsi="仿宋" w:eastAsia="仿宋"/>
          <w:sz w:val="32"/>
          <w:szCs w:val="32"/>
        </w:rPr>
      </w:pPr>
      <w:r>
        <w:rPr>
          <w:rFonts w:hint="eastAsia" w:ascii="仿宋" w:hAnsi="仿宋" w:eastAsia="仿宋"/>
          <w:sz w:val="32"/>
          <w:szCs w:val="32"/>
        </w:rPr>
        <w:t>（18）完成县委和县政府交办的其他任务。</w:t>
      </w:r>
    </w:p>
    <w:p>
      <w:pPr>
        <w:autoSpaceDN w:val="0"/>
        <w:rPr>
          <w:rFonts w:ascii="仿宋" w:hAnsi="仿宋" w:eastAsia="仿宋"/>
          <w:sz w:val="32"/>
          <w:szCs w:val="32"/>
        </w:rPr>
      </w:pPr>
    </w:p>
    <w:p>
      <w:pPr>
        <w:pStyle w:val="8"/>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（二）机构设置及编制情况</w:t>
      </w:r>
    </w:p>
    <w:p>
      <w:pPr>
        <w:pStyle w:val="8"/>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hint="eastAsia" w:ascii="仿宋" w:hAnsi="仿宋" w:eastAsia="仿宋"/>
          <w:sz w:val="32"/>
          <w:szCs w:val="32"/>
        </w:rPr>
        <w:t>2022年末，按“三定方案”设置行政编制12名，事业编制37人，其中班子领导职数6名，设局长1名，副局长3名，政工室主任1名，总工程师1名。我局在职干部职工共4</w:t>
      </w:r>
      <w:r>
        <w:rPr>
          <w:rFonts w:hint="eastAsia" w:ascii="仿宋" w:hAnsi="仿宋" w:eastAsia="仿宋"/>
          <w:sz w:val="32"/>
          <w:szCs w:val="32"/>
          <w:lang w:val="en-US" w:eastAsia="zh-CN"/>
        </w:rPr>
        <w:t>7</w:t>
      </w:r>
      <w:r>
        <w:rPr>
          <w:rFonts w:hint="eastAsia" w:ascii="仿宋" w:hAnsi="仿宋" w:eastAsia="仿宋"/>
          <w:sz w:val="32"/>
          <w:szCs w:val="32"/>
        </w:rPr>
        <w:t>人（其中行政人员14人，事业人员35人），退休人员9人，</w:t>
      </w:r>
      <w:r>
        <w:rPr>
          <w:rFonts w:ascii="仿宋" w:hAnsi="仿宋" w:eastAsia="仿宋" w:cs="仿宋"/>
          <w:color w:val="000000"/>
          <w:sz w:val="32"/>
          <w:szCs w:val="32"/>
          <w:shd w:val="clear" w:color="auto" w:fill="FFFFFF"/>
        </w:rPr>
        <w:t>离休人员</w:t>
      </w:r>
      <w:r>
        <w:rPr>
          <w:rFonts w:hint="eastAsia" w:ascii="仿宋" w:hAnsi="仿宋" w:eastAsia="仿宋" w:cs="仿宋"/>
          <w:color w:val="000000"/>
          <w:sz w:val="32"/>
          <w:szCs w:val="32"/>
          <w:shd w:val="clear" w:color="auto" w:fill="FFFFFF"/>
        </w:rPr>
        <w:t>0</w:t>
      </w:r>
      <w:r>
        <w:rPr>
          <w:rFonts w:ascii="仿宋" w:hAnsi="仿宋" w:eastAsia="仿宋" w:cs="仿宋"/>
          <w:color w:val="000000"/>
          <w:sz w:val="32"/>
          <w:szCs w:val="32"/>
          <w:shd w:val="clear" w:color="auto" w:fill="FFFFFF"/>
        </w:rPr>
        <w:t>人。</w:t>
      </w:r>
      <w:r>
        <w:rPr>
          <w:rFonts w:hint="eastAsia" w:ascii="仿宋" w:hAnsi="仿宋" w:eastAsia="仿宋"/>
          <w:sz w:val="32"/>
          <w:szCs w:val="32"/>
        </w:rPr>
        <w:t>配置10个内设股室，分别为：</w:t>
      </w:r>
    </w:p>
    <w:p>
      <w:pPr>
        <w:autoSpaceDN w:val="0"/>
        <w:ind w:firstLine="800" w:firstLineChars="250"/>
        <w:rPr>
          <w:rFonts w:ascii="仿宋" w:hAnsi="仿宋" w:eastAsia="仿宋"/>
          <w:sz w:val="32"/>
          <w:szCs w:val="32"/>
        </w:rPr>
      </w:pPr>
      <w:r>
        <w:rPr>
          <w:rFonts w:hint="eastAsia" w:ascii="仿宋" w:hAnsi="仿宋" w:eastAsia="仿宋"/>
          <w:sz w:val="32"/>
          <w:szCs w:val="32"/>
        </w:rPr>
        <w:t>办公室（加挂规划财务股牌子）、</w:t>
      </w:r>
    </w:p>
    <w:p>
      <w:pPr>
        <w:autoSpaceDN w:val="0"/>
        <w:ind w:firstLine="800" w:firstLineChars="250"/>
        <w:rPr>
          <w:rFonts w:ascii="仿宋" w:hAnsi="仿宋" w:eastAsia="仿宋"/>
          <w:sz w:val="32"/>
          <w:szCs w:val="32"/>
        </w:rPr>
      </w:pPr>
      <w:r>
        <w:rPr>
          <w:rFonts w:hint="eastAsia" w:ascii="仿宋" w:hAnsi="仿宋" w:eastAsia="仿宋"/>
          <w:sz w:val="32"/>
          <w:szCs w:val="32"/>
        </w:rPr>
        <w:t>政工股（加挂宣传教育股牌子）、</w:t>
      </w:r>
    </w:p>
    <w:p>
      <w:pPr>
        <w:autoSpaceDN w:val="0"/>
        <w:ind w:firstLine="800" w:firstLineChars="250"/>
        <w:rPr>
          <w:rFonts w:ascii="仿宋" w:hAnsi="仿宋" w:eastAsia="仿宋"/>
          <w:sz w:val="32"/>
          <w:szCs w:val="32"/>
        </w:rPr>
      </w:pPr>
      <w:r>
        <w:rPr>
          <w:rFonts w:hint="eastAsia" w:ascii="仿宋" w:hAnsi="仿宋" w:eastAsia="仿宋"/>
          <w:sz w:val="32"/>
          <w:szCs w:val="32"/>
        </w:rPr>
        <w:t>应急指挥中心（加挂风险监测和综合减灾股牌子）、</w:t>
      </w:r>
    </w:p>
    <w:p>
      <w:pPr>
        <w:autoSpaceDN w:val="0"/>
        <w:ind w:firstLine="800" w:firstLineChars="250"/>
        <w:rPr>
          <w:rFonts w:ascii="仿宋" w:hAnsi="仿宋" w:eastAsia="仿宋"/>
          <w:sz w:val="32"/>
          <w:szCs w:val="32"/>
        </w:rPr>
      </w:pPr>
      <w:r>
        <w:rPr>
          <w:rFonts w:hint="eastAsia" w:ascii="仿宋" w:hAnsi="仿宋" w:eastAsia="仿宋"/>
          <w:sz w:val="32"/>
          <w:szCs w:val="32"/>
        </w:rPr>
        <w:t>安全生产综合协调股、</w:t>
      </w:r>
    </w:p>
    <w:p>
      <w:pPr>
        <w:autoSpaceDN w:val="0"/>
        <w:ind w:firstLine="800" w:firstLineChars="250"/>
        <w:rPr>
          <w:rFonts w:ascii="仿宋" w:hAnsi="仿宋" w:eastAsia="仿宋"/>
          <w:sz w:val="32"/>
          <w:szCs w:val="32"/>
        </w:rPr>
      </w:pPr>
      <w:r>
        <w:rPr>
          <w:rFonts w:hint="eastAsia" w:ascii="仿宋" w:hAnsi="仿宋" w:eastAsia="仿宋"/>
          <w:sz w:val="32"/>
          <w:szCs w:val="32"/>
        </w:rPr>
        <w:t>政策法规股（加挂行政审批股牌子）、</w:t>
      </w:r>
    </w:p>
    <w:p>
      <w:pPr>
        <w:autoSpaceDN w:val="0"/>
        <w:ind w:firstLine="800" w:firstLineChars="250"/>
        <w:rPr>
          <w:rFonts w:ascii="仿宋" w:hAnsi="仿宋" w:eastAsia="仿宋"/>
          <w:sz w:val="32"/>
          <w:szCs w:val="32"/>
        </w:rPr>
      </w:pPr>
      <w:r>
        <w:rPr>
          <w:rFonts w:hint="eastAsia" w:ascii="仿宋" w:hAnsi="仿宋" w:eastAsia="仿宋"/>
          <w:sz w:val="32"/>
          <w:szCs w:val="32"/>
        </w:rPr>
        <w:t>火灾防治管理股、</w:t>
      </w:r>
    </w:p>
    <w:p>
      <w:pPr>
        <w:autoSpaceDN w:val="0"/>
        <w:ind w:firstLine="800" w:firstLineChars="250"/>
        <w:rPr>
          <w:rFonts w:ascii="仿宋" w:hAnsi="仿宋" w:eastAsia="仿宋"/>
          <w:sz w:val="32"/>
          <w:szCs w:val="32"/>
        </w:rPr>
      </w:pPr>
      <w:r>
        <w:rPr>
          <w:rFonts w:hint="eastAsia" w:ascii="仿宋" w:hAnsi="仿宋" w:eastAsia="仿宋"/>
          <w:sz w:val="32"/>
          <w:szCs w:val="32"/>
        </w:rPr>
        <w:t>防汛抗旱股（加挂地震和地质灾害救援股牌子）、</w:t>
      </w:r>
    </w:p>
    <w:p>
      <w:pPr>
        <w:autoSpaceDN w:val="0"/>
        <w:ind w:firstLine="800" w:firstLineChars="250"/>
        <w:rPr>
          <w:rFonts w:ascii="仿宋" w:hAnsi="仿宋" w:eastAsia="仿宋"/>
          <w:sz w:val="32"/>
          <w:szCs w:val="32"/>
        </w:rPr>
      </w:pPr>
      <w:r>
        <w:rPr>
          <w:rFonts w:hint="eastAsia" w:ascii="仿宋" w:hAnsi="仿宋" w:eastAsia="仿宋"/>
          <w:sz w:val="32"/>
          <w:szCs w:val="32"/>
        </w:rPr>
        <w:t>非煤矿山和工贸行业安全监督管理股、</w:t>
      </w:r>
    </w:p>
    <w:p>
      <w:pPr>
        <w:autoSpaceDN w:val="0"/>
        <w:ind w:firstLine="800" w:firstLineChars="250"/>
        <w:rPr>
          <w:rFonts w:ascii="仿宋" w:hAnsi="仿宋" w:eastAsia="仿宋"/>
          <w:sz w:val="32"/>
          <w:szCs w:val="32"/>
        </w:rPr>
      </w:pPr>
      <w:r>
        <w:rPr>
          <w:rFonts w:hint="eastAsia" w:ascii="仿宋" w:hAnsi="仿宋" w:eastAsia="仿宋"/>
          <w:sz w:val="32"/>
          <w:szCs w:val="32"/>
        </w:rPr>
        <w:t>危险化学品安全监督管理股（加挂烟花爆竹安全监督管理股牌子）、</w:t>
      </w:r>
    </w:p>
    <w:p>
      <w:pPr>
        <w:autoSpaceDN w:val="0"/>
        <w:ind w:firstLine="800" w:firstLineChars="250"/>
        <w:rPr>
          <w:rFonts w:ascii="仿宋" w:hAnsi="仿宋" w:eastAsia="仿宋"/>
          <w:sz w:val="32"/>
          <w:szCs w:val="32"/>
        </w:rPr>
      </w:pPr>
      <w:r>
        <w:rPr>
          <w:rFonts w:hint="eastAsia" w:ascii="仿宋" w:hAnsi="仿宋" w:eastAsia="仿宋"/>
          <w:sz w:val="32"/>
          <w:szCs w:val="32"/>
        </w:rPr>
        <w:t>救灾和物资保障股（加挂调查评估和统计股牌子）、</w:t>
      </w:r>
    </w:p>
    <w:p>
      <w:pPr>
        <w:autoSpaceDN w:val="0"/>
        <w:ind w:firstLine="800" w:firstLineChars="250"/>
        <w:rPr>
          <w:rFonts w:ascii="仿宋" w:hAnsi="仿宋" w:eastAsia="仿宋"/>
          <w:sz w:val="32"/>
          <w:szCs w:val="32"/>
        </w:rPr>
      </w:pPr>
      <w:r>
        <w:rPr>
          <w:rFonts w:hint="eastAsia" w:ascii="仿宋" w:hAnsi="仿宋" w:eastAsia="仿宋"/>
          <w:sz w:val="32"/>
          <w:szCs w:val="32"/>
        </w:rPr>
        <w:t>下设两个二级机构，执法大队和应急援助事务中心。</w:t>
      </w:r>
    </w:p>
    <w:p>
      <w:pPr>
        <w:pStyle w:val="8"/>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8"/>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hint="eastAsia" w:eastAsia="仿宋_GB2312"/>
          <w:color w:val="0C0C0C"/>
          <w:sz w:val="32"/>
          <w:szCs w:val="32"/>
          <w:lang w:eastAsia="zh-CN"/>
        </w:rPr>
      </w:pPr>
      <w:r>
        <w:rPr>
          <w:rFonts w:eastAsia="仿宋_GB2312"/>
          <w:color w:val="0C0C0C"/>
          <w:sz w:val="32"/>
          <w:szCs w:val="32"/>
        </w:rPr>
        <w:t>202</w:t>
      </w:r>
      <w:r>
        <w:rPr>
          <w:rFonts w:hint="eastAsia" w:eastAsia="仿宋_GB2312"/>
          <w:color w:val="0C0C0C"/>
          <w:sz w:val="32"/>
          <w:szCs w:val="32"/>
        </w:rPr>
        <w:t>2</w:t>
      </w:r>
      <w:r>
        <w:rPr>
          <w:rFonts w:eastAsia="仿宋_GB2312"/>
          <w:color w:val="0C0C0C"/>
          <w:sz w:val="32"/>
          <w:szCs w:val="32"/>
        </w:rPr>
        <w:t>年基本支出共计</w:t>
      </w:r>
      <w:r>
        <w:rPr>
          <w:rFonts w:hint="eastAsia" w:eastAsia="仿宋_GB2312"/>
          <w:color w:val="0C0C0C"/>
          <w:sz w:val="32"/>
          <w:szCs w:val="32"/>
          <w:lang w:val="en-US" w:eastAsia="zh-CN"/>
        </w:rPr>
        <w:t>1310.63</w:t>
      </w:r>
      <w:r>
        <w:rPr>
          <w:rFonts w:eastAsia="仿宋_GB2312"/>
          <w:color w:val="0C0C0C"/>
          <w:sz w:val="32"/>
          <w:szCs w:val="32"/>
        </w:rPr>
        <w:t>万元</w:t>
      </w:r>
      <w:r>
        <w:rPr>
          <w:rFonts w:hint="eastAsia" w:eastAsia="仿宋_GB2312"/>
          <w:color w:val="0C0C0C"/>
          <w:sz w:val="32"/>
          <w:szCs w:val="32"/>
        </w:rPr>
        <w:t>，其中</w:t>
      </w:r>
      <w:r>
        <w:rPr>
          <w:rFonts w:eastAsia="仿宋_GB2312"/>
          <w:color w:val="0C0C0C"/>
          <w:sz w:val="32"/>
          <w:szCs w:val="32"/>
        </w:rPr>
        <w:t>人员经费</w:t>
      </w:r>
      <w:r>
        <w:rPr>
          <w:rFonts w:hint="eastAsia" w:eastAsia="仿宋_GB2312"/>
          <w:color w:val="0C0C0C"/>
          <w:sz w:val="32"/>
          <w:szCs w:val="32"/>
          <w:lang w:val="en-US" w:eastAsia="zh-CN"/>
        </w:rPr>
        <w:t>898.63</w:t>
      </w:r>
      <w:r>
        <w:rPr>
          <w:rFonts w:eastAsia="仿宋_GB2312"/>
          <w:color w:val="0C0C0C"/>
          <w:sz w:val="32"/>
          <w:szCs w:val="32"/>
        </w:rPr>
        <w:t>万元</w:t>
      </w:r>
      <w:r>
        <w:rPr>
          <w:rFonts w:hint="eastAsia" w:eastAsia="仿宋_GB2312"/>
          <w:color w:val="0C0C0C"/>
          <w:sz w:val="32"/>
          <w:szCs w:val="32"/>
        </w:rPr>
        <w:t>，</w:t>
      </w:r>
      <w:r>
        <w:rPr>
          <w:rFonts w:eastAsia="仿宋_GB2312"/>
          <w:color w:val="0C0C0C"/>
          <w:sz w:val="32"/>
          <w:szCs w:val="32"/>
        </w:rPr>
        <w:t>公用经费</w:t>
      </w:r>
      <w:r>
        <w:rPr>
          <w:rFonts w:hint="eastAsia" w:eastAsia="仿宋_GB2312"/>
          <w:color w:val="0C0C0C"/>
          <w:sz w:val="32"/>
          <w:szCs w:val="32"/>
          <w:lang w:val="en-US" w:eastAsia="zh-CN"/>
        </w:rPr>
        <w:t>412</w:t>
      </w:r>
      <w:r>
        <w:rPr>
          <w:rFonts w:eastAsia="仿宋_GB2312"/>
          <w:color w:val="0C0C0C"/>
          <w:sz w:val="32"/>
          <w:szCs w:val="32"/>
        </w:rPr>
        <w:t>万元</w:t>
      </w:r>
      <w:r>
        <w:rPr>
          <w:rFonts w:hint="eastAsia" w:eastAsia="仿宋_GB2312"/>
          <w:color w:val="0C0C0C"/>
          <w:sz w:val="32"/>
          <w:szCs w:val="32"/>
          <w:lang w:eastAsia="zh-CN"/>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hint="eastAsia" w:ascii="仿宋" w:hAnsi="仿宋" w:eastAsia="仿宋" w:cs="仿宋"/>
          <w:b/>
          <w:bCs/>
          <w:color w:val="0C0C0C"/>
          <w:sz w:val="32"/>
          <w:szCs w:val="32"/>
        </w:rPr>
        <w:t>1.人员经费</w:t>
      </w:r>
      <w:r>
        <w:rPr>
          <w:rFonts w:hint="eastAsia" w:eastAsia="仿宋_GB2312"/>
          <w:color w:val="0C0C0C"/>
          <w:sz w:val="32"/>
          <w:szCs w:val="32"/>
          <w:lang w:val="en-US" w:eastAsia="zh-CN"/>
        </w:rPr>
        <w:t>898.63</w:t>
      </w:r>
      <w:r>
        <w:rPr>
          <w:rFonts w:hint="eastAsia" w:ascii="仿宋" w:hAnsi="仿宋" w:eastAsia="仿宋" w:cs="仿宋"/>
          <w:b/>
          <w:bCs/>
          <w:color w:val="0C0C0C"/>
          <w:sz w:val="32"/>
          <w:szCs w:val="32"/>
        </w:rPr>
        <w:t>万元。</w:t>
      </w:r>
      <w:r>
        <w:rPr>
          <w:rFonts w:eastAsia="仿宋_GB2312"/>
          <w:color w:val="0C0C0C"/>
          <w:sz w:val="32"/>
          <w:szCs w:val="32"/>
        </w:rPr>
        <w:t>要用于在职人员工资</w:t>
      </w:r>
      <w:r>
        <w:rPr>
          <w:rFonts w:hint="eastAsia" w:eastAsia="仿宋_GB2312"/>
          <w:color w:val="0C0C0C"/>
          <w:sz w:val="32"/>
          <w:szCs w:val="32"/>
        </w:rPr>
        <w:t>、</w:t>
      </w:r>
      <w:r>
        <w:rPr>
          <w:rFonts w:eastAsia="仿宋_GB2312"/>
          <w:color w:val="0C0C0C"/>
          <w:sz w:val="32"/>
          <w:szCs w:val="32"/>
        </w:rPr>
        <w:t>津</w:t>
      </w:r>
      <w:r>
        <w:rPr>
          <w:rFonts w:hint="eastAsia" w:eastAsia="仿宋_GB2312"/>
          <w:color w:val="0C0C0C"/>
          <w:sz w:val="32"/>
          <w:szCs w:val="32"/>
        </w:rPr>
        <w:t>贴</w:t>
      </w:r>
      <w:r>
        <w:rPr>
          <w:rFonts w:eastAsia="仿宋_GB2312"/>
          <w:color w:val="0C0C0C"/>
          <w:sz w:val="32"/>
          <w:szCs w:val="32"/>
        </w:rPr>
        <w:t>补贴、奖金、社保缴费、住房公积金缴费</w:t>
      </w:r>
      <w:r>
        <w:rPr>
          <w:rFonts w:hint="eastAsia" w:eastAsia="仿宋_GB2312"/>
          <w:color w:val="0C0C0C"/>
          <w:sz w:val="32"/>
          <w:szCs w:val="32"/>
        </w:rPr>
        <w:t>、医疗保险缴费、消防二中队人员工资及防火协警人员工资</w:t>
      </w:r>
      <w:r>
        <w:rPr>
          <w:rFonts w:eastAsia="仿宋_GB2312"/>
          <w:color w:val="0C0C0C"/>
          <w:sz w:val="32"/>
          <w:szCs w:val="32"/>
        </w:rPr>
        <w:t>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ascii="仿宋" w:hAnsi="仿宋" w:eastAsia="仿宋" w:cs="仿宋"/>
          <w:b/>
          <w:bCs/>
          <w:color w:val="0C0C0C"/>
          <w:sz w:val="32"/>
          <w:szCs w:val="32"/>
          <w:lang w:val="en-US" w:eastAsia="zh-CN"/>
        </w:rPr>
        <w:t>412</w:t>
      </w:r>
      <w:r>
        <w:rPr>
          <w:rFonts w:ascii="仿宋" w:hAnsi="仿宋" w:eastAsia="仿宋" w:cs="仿宋"/>
          <w:b/>
          <w:bCs/>
          <w:color w:val="0C0C0C"/>
          <w:sz w:val="32"/>
          <w:szCs w:val="32"/>
        </w:rPr>
        <w:t>万元。</w:t>
      </w:r>
      <w:r>
        <w:rPr>
          <w:rFonts w:eastAsia="仿宋_GB2312"/>
          <w:color w:val="0C0C0C"/>
          <w:sz w:val="32"/>
          <w:szCs w:val="32"/>
        </w:rPr>
        <w:t>主要用于为保障基本运行而发生的办公费、印刷费、邮电费、水费、电费、维修费、差旅费</w:t>
      </w:r>
      <w:r>
        <w:rPr>
          <w:rFonts w:hint="eastAsia" w:eastAsia="仿宋_GB2312"/>
          <w:color w:val="0C0C0C"/>
          <w:sz w:val="32"/>
          <w:szCs w:val="32"/>
        </w:rPr>
        <w:t>、会议费、培训费、工会经费、其他交通费用、防汛系统网络维护费、防汛演练</w:t>
      </w:r>
      <w:r>
        <w:rPr>
          <w:rFonts w:eastAsia="仿宋_GB2312"/>
          <w:color w:val="0C0C0C"/>
          <w:sz w:val="32"/>
          <w:szCs w:val="32"/>
        </w:rPr>
        <w:t>等</w:t>
      </w:r>
      <w:r>
        <w:rPr>
          <w:rFonts w:hint="eastAsia" w:eastAsia="仿宋_GB2312"/>
          <w:color w:val="0C0C0C"/>
          <w:sz w:val="32"/>
          <w:szCs w:val="32"/>
        </w:rPr>
        <w:t>支出</w:t>
      </w:r>
      <w:r>
        <w:rPr>
          <w:rFonts w:eastAsia="仿宋_GB2312"/>
          <w:color w:val="0C0C0C"/>
          <w:sz w:val="32"/>
          <w:szCs w:val="32"/>
        </w:rPr>
        <w:t>。公用经费支出严格执行部门预算，厉行节约，控制运行成本。</w:t>
      </w:r>
    </w:p>
    <w:p>
      <w:pPr>
        <w:pStyle w:val="6"/>
      </w:pPr>
    </w:p>
    <w:p>
      <w:pPr>
        <w:pStyle w:val="8"/>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hint="eastAsia" w:ascii="仿宋" w:hAnsi="仿宋" w:eastAsia="仿宋" w:cs="仿宋"/>
          <w:color w:val="0C0C0C"/>
          <w:sz w:val="32"/>
          <w:szCs w:val="32"/>
        </w:rPr>
        <w:t>2022年项目支出共计103.6万元，其中业务工作经费</w:t>
      </w:r>
      <w:r>
        <w:rPr>
          <w:rFonts w:hint="eastAsia" w:ascii="仿宋" w:hAnsi="仿宋" w:eastAsia="仿宋" w:cs="仿宋"/>
          <w:color w:val="000000"/>
          <w:kern w:val="0"/>
          <w:sz w:val="32"/>
          <w:szCs w:val="32"/>
        </w:rPr>
        <w:t>0</w:t>
      </w:r>
      <w:r>
        <w:rPr>
          <w:rFonts w:hint="eastAsia" w:ascii="仿宋" w:hAnsi="仿宋" w:eastAsia="仿宋" w:cs="仿宋"/>
          <w:color w:val="0C0C0C"/>
          <w:sz w:val="32"/>
          <w:szCs w:val="32"/>
        </w:rPr>
        <w:t>万元，运行维护经费</w:t>
      </w:r>
      <w:r>
        <w:rPr>
          <w:rFonts w:hint="eastAsia" w:ascii="仿宋" w:hAnsi="仿宋" w:eastAsia="仿宋" w:cs="仿宋"/>
          <w:color w:val="000000"/>
          <w:kern w:val="0"/>
          <w:sz w:val="32"/>
          <w:szCs w:val="32"/>
        </w:rPr>
        <w:t>0</w:t>
      </w:r>
      <w:r>
        <w:rPr>
          <w:rFonts w:hint="eastAsia" w:ascii="仿宋" w:hAnsi="仿宋" w:eastAsia="仿宋" w:cs="仿宋"/>
          <w:color w:val="0C0C0C"/>
          <w:sz w:val="32"/>
          <w:szCs w:val="32"/>
        </w:rPr>
        <w:t>万元，专项资金103.6万元。</w:t>
      </w:r>
    </w:p>
    <w:p>
      <w:pPr>
        <w:numPr>
          <w:ilvl w:val="0"/>
          <w:numId w:val="1"/>
        </w:numPr>
        <w:pBdr>
          <w:top w:val="none" w:color="auto" w:sz="0" w:space="1"/>
          <w:left w:val="none" w:color="auto" w:sz="0" w:space="4"/>
          <w:bottom w:val="none" w:color="auto" w:sz="0" w:space="1"/>
          <w:right w:val="none" w:color="auto" w:sz="0" w:space="4"/>
        </w:pBdr>
        <w:snapToGrid w:val="0"/>
        <w:spacing w:line="586" w:lineRule="exact"/>
        <w:ind w:firstLine="640" w:firstLineChars="200"/>
        <w:rPr>
          <w:rFonts w:hint="eastAsia" w:ascii="仿宋" w:hAnsi="仿宋" w:eastAsia="仿宋" w:cs="仿宋"/>
          <w:color w:val="0C0C0C"/>
          <w:sz w:val="32"/>
          <w:szCs w:val="32"/>
          <w:lang w:eastAsia="zh-CN"/>
        </w:rPr>
      </w:pPr>
      <w:r>
        <w:rPr>
          <w:rFonts w:hint="eastAsia" w:ascii="仿宋" w:hAnsi="仿宋" w:eastAsia="仿宋" w:cs="仿宋"/>
          <w:color w:val="0C0C0C"/>
          <w:sz w:val="32"/>
          <w:szCs w:val="32"/>
        </w:rPr>
        <w:t>业务工作经费</w:t>
      </w:r>
      <w:r>
        <w:rPr>
          <w:rFonts w:hint="eastAsia" w:ascii="仿宋" w:hAnsi="仿宋" w:eastAsia="仿宋" w:cs="仿宋"/>
          <w:color w:val="000000"/>
          <w:kern w:val="0"/>
          <w:sz w:val="32"/>
          <w:szCs w:val="32"/>
        </w:rPr>
        <w:t>0</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eastAsia="zh-CN"/>
        </w:rPr>
        <w:t>。</w:t>
      </w:r>
    </w:p>
    <w:p>
      <w:pPr>
        <w:numPr>
          <w:ilvl w:val="0"/>
          <w:numId w:val="1"/>
        </w:numPr>
        <w:pBdr>
          <w:top w:val="none" w:color="auto" w:sz="0" w:space="1"/>
          <w:left w:val="none" w:color="auto" w:sz="0" w:space="4"/>
          <w:bottom w:val="none" w:color="auto" w:sz="0" w:space="1"/>
          <w:right w:val="none" w:color="auto" w:sz="0" w:space="4"/>
        </w:pBdr>
        <w:snapToGrid w:val="0"/>
        <w:spacing w:line="586" w:lineRule="exact"/>
        <w:ind w:firstLine="640" w:firstLineChars="200"/>
        <w:rPr>
          <w:rFonts w:hint="eastAsia" w:ascii="仿宋" w:hAnsi="仿宋" w:eastAsia="仿宋" w:cs="仿宋"/>
          <w:b/>
          <w:bCs/>
          <w:color w:val="0C0C0C"/>
          <w:sz w:val="32"/>
          <w:szCs w:val="32"/>
        </w:rPr>
      </w:pPr>
      <w:r>
        <w:rPr>
          <w:rFonts w:hint="eastAsia" w:ascii="仿宋" w:hAnsi="仿宋" w:eastAsia="仿宋" w:cs="仿宋"/>
          <w:color w:val="0C0C0C"/>
          <w:sz w:val="32"/>
          <w:szCs w:val="32"/>
        </w:rPr>
        <w:t>运行维护经费</w:t>
      </w:r>
      <w:r>
        <w:rPr>
          <w:rFonts w:hint="eastAsia" w:ascii="仿宋" w:hAnsi="仿宋" w:eastAsia="仿宋" w:cs="仿宋"/>
          <w:color w:val="000000"/>
          <w:kern w:val="0"/>
          <w:sz w:val="32"/>
          <w:szCs w:val="32"/>
        </w:rPr>
        <w:t>0</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eastAsia="zh-CN"/>
        </w:rPr>
        <w:t>。</w:t>
      </w:r>
    </w:p>
    <w:p>
      <w:pPr>
        <w:numPr>
          <w:ilvl w:val="0"/>
          <w:numId w:val="1"/>
        </w:numPr>
        <w:pBdr>
          <w:top w:val="none" w:color="auto" w:sz="0" w:space="1"/>
          <w:left w:val="none" w:color="auto" w:sz="0" w:space="4"/>
          <w:bottom w:val="none" w:color="auto" w:sz="0" w:space="1"/>
          <w:right w:val="none" w:color="auto" w:sz="0" w:space="4"/>
        </w:pBdr>
        <w:snapToGrid w:val="0"/>
        <w:spacing w:line="586" w:lineRule="exact"/>
        <w:ind w:firstLine="640" w:firstLineChars="200"/>
        <w:rPr>
          <w:rFonts w:hint="eastAsia" w:ascii="仿宋" w:hAnsi="仿宋" w:eastAsia="仿宋" w:cs="仿宋"/>
          <w:b/>
          <w:bCs/>
          <w:color w:val="0C0C0C"/>
          <w:sz w:val="32"/>
          <w:szCs w:val="32"/>
        </w:rPr>
      </w:pPr>
      <w:r>
        <w:rPr>
          <w:rFonts w:hint="eastAsia" w:ascii="仿宋" w:hAnsi="仿宋" w:eastAsia="仿宋" w:cs="仿宋"/>
          <w:color w:val="0C0C0C"/>
          <w:sz w:val="32"/>
          <w:szCs w:val="32"/>
        </w:rPr>
        <w:t>专项资金103.6万元。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hint="eastAsia" w:ascii="仿宋" w:hAnsi="仿宋" w:eastAsia="仿宋" w:cs="仿宋"/>
          <w:b/>
          <w:bCs/>
          <w:color w:val="0C0C0C"/>
          <w:sz w:val="32"/>
          <w:szCs w:val="32"/>
        </w:rPr>
        <w:t>上级专项资金103.6</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。主要是省级</w:t>
      </w:r>
      <w:r>
        <w:rPr>
          <w:rFonts w:hint="eastAsia" w:ascii="仿宋" w:hAnsi="仿宋" w:eastAsia="仿宋" w:cs="仿宋"/>
          <w:color w:val="0C0C0C"/>
          <w:sz w:val="32"/>
          <w:szCs w:val="32"/>
        </w:rPr>
        <w:t>专项资金</w:t>
      </w:r>
      <w:r>
        <w:rPr>
          <w:rFonts w:ascii="仿宋" w:hAnsi="仿宋" w:eastAsia="仿宋" w:cs="仿宋"/>
          <w:color w:val="0C0C0C"/>
          <w:sz w:val="32"/>
          <w:szCs w:val="32"/>
        </w:rPr>
        <w:t>主要用于</w:t>
      </w:r>
      <w:r>
        <w:rPr>
          <w:rFonts w:hint="eastAsia" w:ascii="仿宋" w:hAnsi="仿宋" w:eastAsia="仿宋" w:cs="仿宋"/>
          <w:color w:val="0C0C0C"/>
          <w:sz w:val="32"/>
          <w:szCs w:val="32"/>
        </w:rPr>
        <w:t>森林防火工作基础建设21.5万元、信息网络建设33.4万元以、自然灾害中的补助金23.7万元及专项委托业务支出25万元。</w:t>
      </w:r>
    </w:p>
    <w:p>
      <w:pPr>
        <w:pStyle w:val="8"/>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2年度政府性基金预算财政拨款年初结转和结余为0万元，本年收入12.47万元，本年支出12.47万元，年末结转和结余0万元。</w:t>
      </w:r>
    </w:p>
    <w:p>
      <w:pPr>
        <w:pStyle w:val="8"/>
        <w:widowControl/>
        <w:numPr>
          <w:ilvl w:val="0"/>
          <w:numId w:val="2"/>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年度无国有资本经营预算支出。</w:t>
      </w:r>
    </w:p>
    <w:p>
      <w:pPr>
        <w:pStyle w:val="8"/>
        <w:widowControl/>
        <w:numPr>
          <w:ilvl w:val="0"/>
          <w:numId w:val="2"/>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年度无社会保险基金预算支出。</w:t>
      </w:r>
    </w:p>
    <w:p>
      <w:pPr>
        <w:pStyle w:val="8"/>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eastAsia" w:ascii="仿宋" w:hAnsi="仿宋" w:eastAsia="仿宋" w:cs="仿宋"/>
          <w:color w:val="0C0C0C"/>
          <w:kern w:val="2"/>
          <w:sz w:val="32"/>
          <w:szCs w:val="32"/>
          <w:lang w:val="en-US" w:eastAsia="zh-CN" w:bidi="ar-SA"/>
        </w:rPr>
      </w:pPr>
      <w:r>
        <w:rPr>
          <w:rFonts w:hint="eastAsia" w:ascii="仿宋" w:hAnsi="仿宋" w:eastAsia="仿宋" w:cs="仿宋"/>
          <w:color w:val="0C0C0C"/>
          <w:kern w:val="2"/>
          <w:sz w:val="32"/>
          <w:szCs w:val="32"/>
          <w:lang w:val="en-US" w:eastAsia="zh-CN" w:bidi="ar-SA"/>
        </w:rPr>
        <w:t>2022年，在县委、县政府的领导下，坚持依法行政、执法为民，稳中求进，改革创新，积极作为，突出抓改革强监管促发展，各方面工作稳步推进。根据部门整体支出绩效自评评分（详见附件2），</w:t>
      </w:r>
      <w:r>
        <w:rPr>
          <w:rFonts w:hint="eastAsia" w:ascii="仿宋" w:hAnsi="仿宋" w:eastAsia="仿宋" w:cs="仿宋"/>
          <w:color w:val="auto"/>
          <w:kern w:val="2"/>
          <w:sz w:val="32"/>
          <w:szCs w:val="32"/>
          <w:lang w:val="en-US" w:eastAsia="zh-CN" w:bidi="ar-SA"/>
        </w:rPr>
        <w:t>得分</w:t>
      </w:r>
      <w:r>
        <w:rPr>
          <w:rFonts w:hint="eastAsia" w:ascii="仿宋" w:hAnsi="仿宋" w:eastAsia="仿宋" w:cs="仿宋"/>
          <w:color w:val="auto"/>
          <w:sz w:val="32"/>
          <w:szCs w:val="32"/>
          <w:lang w:val="en-US" w:eastAsia="zh-CN"/>
        </w:rPr>
        <w:t>95</w:t>
      </w:r>
      <w:bookmarkStart w:id="0" w:name="_GoBack"/>
      <w:bookmarkEnd w:id="0"/>
      <w:r>
        <w:rPr>
          <w:rFonts w:hint="eastAsia" w:ascii="仿宋" w:hAnsi="仿宋" w:eastAsia="仿宋" w:cs="仿宋"/>
          <w:color w:val="auto"/>
          <w:kern w:val="2"/>
          <w:sz w:val="32"/>
          <w:szCs w:val="32"/>
          <w:lang w:val="en-US" w:eastAsia="zh-CN" w:bidi="ar-SA"/>
        </w:rPr>
        <w:t>分，部门整体支出绩效为“优秀”。主要绩效如下：</w:t>
      </w:r>
    </w:p>
    <w:p>
      <w:pPr>
        <w:ind w:firstLine="640" w:firstLineChars="200"/>
        <w:rPr>
          <w:rFonts w:ascii="仿宋" w:hAnsi="仿宋" w:eastAsia="仿宋" w:cs="仿宋"/>
          <w:color w:val="0C0C0C"/>
          <w:sz w:val="32"/>
          <w:szCs w:val="32"/>
        </w:rPr>
      </w:pPr>
      <w:r>
        <w:rPr>
          <w:rFonts w:hint="eastAsia" w:ascii="仿宋" w:hAnsi="仿宋" w:eastAsia="仿宋" w:cs="仿宋"/>
          <w:sz w:val="32"/>
          <w:szCs w:val="32"/>
        </w:rPr>
        <w:t>2022年，在县委、县政府坚强领导和省、市应急主管部门精心指导下，局党委团结拼博、迎难而上，带领全局上下深入学习贯彻习近平总书记关于安全生产系列重要论述，全面贯彻落实中央、省、市关于安全生产的决策部署，坚持“人民至上、生命至上、安全第一”发展理念，严格落实国务院安委会15条硬措施，强化安全生产红线意识、底线思维，扎实做好安全生产、自然灾害防治、森林防灭火和应急救援等各项工作，全面推动我县安全生产形势持续稳定向好。截至目前，我局直管行业领域的危险化学品、烟花爆竹、非煤矿山和工贸行业领域实现“零事故”；防汛抗旱、森林火灾等取得了“零伤亡”的全胜好成绩，由省市督查组在全省作经验推广；全县安全形势平稳，未发生一起生产安全亡人事故，安全生产工作获省“全省安全生产先进县”，防灾减灾工作被省应急管理厅评为“真抓实干成效显著单位”，我局被邵阳市委、市人民政府评为“2022年度高效能治理突出贡献奖先进集体”，被邵阳市地震局评为“2022年度全市防震减灾工作先进单位”获全市防震减灾科普知识讲解赛“三等奖”。</w:t>
      </w:r>
      <w:r>
        <w:rPr>
          <w:rFonts w:hint="eastAsia" w:ascii="仿宋" w:hAnsi="仿宋" w:eastAsia="仿宋" w:cs="仿宋"/>
          <w:color w:val="0C0C0C"/>
          <w:sz w:val="32"/>
          <w:szCs w:val="32"/>
        </w:rPr>
        <w:t>根据部门整体支出绩效自评评分（详见附件2），得分96分，部门整体支出绩效为“优秀”。主要绩效如下：</w:t>
      </w:r>
    </w:p>
    <w:p>
      <w:pPr>
        <w:ind w:firstLine="640" w:firstLineChars="200"/>
        <w:rPr>
          <w:rFonts w:ascii="仿宋" w:hAnsi="仿宋" w:eastAsia="仿宋" w:cs="仿宋"/>
          <w:sz w:val="32"/>
          <w:szCs w:val="32"/>
        </w:rPr>
      </w:pPr>
      <w:r>
        <w:rPr>
          <w:rFonts w:hint="eastAsia" w:ascii="仿宋" w:hAnsi="仿宋" w:eastAsia="仿宋" w:cs="仿宋"/>
          <w:sz w:val="32"/>
          <w:szCs w:val="32"/>
        </w:rPr>
        <w:t>（一）抓好思想提升、深化共识，凝聚起齐抓共管的强大合力。2022年，我局上下同心、全力以赴瞄准既定目标，坚持“两个至上”，统筹发展和安全两件大事，从政府主要领导做起，以上率下，按照早抓、常抓、围绕重点抓，真抓、实抓、结合工作抓，创新工作思路，狠抓安全生产各项工作。一是高位推动落实党政责任。县委、县政府高度重视安全生产工作，全年召开3次县委常委会、5次县政府常务会以及4次县安委会全会研究部署安全生产工作，高位统筹、强力推动全县安全生产工作。节假日期间以及防汛抗旱应急响应期、森林防灭火特别防护期，县委、县政府主要领导密集调度、多次指示，先后召开全县性会议10次，赶赴县应急管理局专题调度安全防范、防汛抗旱和森林防灭火工作20余次。县级领导按照“党政同责、一岗双责”要求，积极压实安全生产责任链条，全方位调度分管领域安全生产工作，多次召开专题会议、调度会议和讲评会议，推动安全生产工作在全县纵深开展。党政主要领导分别带队对全县相关重点行业领域和重点场所开展专项安全检查，深入各家企业进行点对点检查并提出整改要求，切实推动安全生产走深走实，打通责任传导“神经末梢”。二是全面落实乡镇、部门责任。今年，国务院下发了“安全生产十五条硬措施”后，按照安全生产“党政同责、一岗双责、齐抓共管、失职追责”原则，严格落实安全生产责任清单制，将责任明晰化、实体化，压实各级党政领导干部安全生产责任，形成“一级抓一级、层层抓落实”的安全生产责任体系。理顺重点行业领域及其它新领域、新行业安全监管责任边界，推动部门监管责任落实，堵塞安全漏洞；积极推动各专业委员会的引领作用，协调解决各行业领域安全生产工作中存在的突出问题，着力构建隐患排查全覆盖、隐患大小不放过、隐患整改全到位的安全格局；坚持问题导向、目标导向、结果导向，严格落实安全生产“一票否决”制度，不断完善乡镇、部门两套安全生产工作考核办法，进一步推动安全生产责任落实落细；充分发挥安全委员会综合协调作用，运用约谈、通报、警示、曝光、建议、提醒、巡查、考核等“组合拳”，推动各乡镇党委和部门责任落实。三是严格落实主体责任。近年，我县先后开展了落实企业安全生产主体责任落实年、提升年、巩固年行动，推动企业从“要我安全”向“我要安全”转变。督促落实企业主要负责人、实际控制人安全生产第一责任人责任，确保安全管理机构、安全投入、安全管理、安全培训教育落实到位；全面推行企业安全生产“一会三卡”（班前会、风险卡、作业卡、应急卡)制度，将安全生产责任落实到企业、班组、人头；大力推广安全生产承诺制，规范企业安全风险辨识、评估、管控、报告工作；在规模以上企业推行设立安全总监；综合运用投诉举报、执法处罚、刑事责任追究、警示曝光、失信惩戒、标准化创建等措施，全面加强安全生产人物、制度、时空、环境“四要素”本质安全建设，倒逼企业严格履行安全生产的职责和义务。</w:t>
      </w:r>
    </w:p>
    <w:p>
      <w:pPr>
        <w:ind w:firstLine="640" w:firstLineChars="200"/>
        <w:rPr>
          <w:rFonts w:ascii="仿宋" w:hAnsi="仿宋" w:eastAsia="仿宋" w:cs="仿宋"/>
          <w:sz w:val="32"/>
          <w:szCs w:val="32"/>
        </w:rPr>
      </w:pPr>
      <w:r>
        <w:rPr>
          <w:rFonts w:hint="eastAsia" w:ascii="仿宋" w:hAnsi="仿宋" w:eastAsia="仿宋" w:cs="仿宋"/>
          <w:sz w:val="32"/>
          <w:szCs w:val="32"/>
        </w:rPr>
        <w:t>（二）扎实推进专项整治三年行动，为安全生产工作稳基固本。安全生产专项整治三年行动是习近平总书记亲自批示、亲自部署、亲自推进的重要工作，是我县近三年安全生产工作的一条主线，2022年是三年行动收官之年，切实把专项整治三年行动作为解决安全生产重点难点问题的攻坚行动，把好安全发展的总开关。一是进一步树牢安全发展理念，守住安全底线。深刻领会习近平总书记关于防灾减灾救灾“两个坚持”“三个转变”和“对党忠诚、纪律严明、赴汤蹈火、竭诚为民”的训词总要求，让“安全第一、生命至上”“科学发展、安全发展”的理念入心入脑。二是稳步推进安全生产专项整治三年行动，突出化解风险隐患。把隐患排查整治作为专项整治三年行动工作核心，每季度安委会上进行调度推进，同时对照《绥宁县安全生产专项整治三年行动实施方案》的时间表、问题清单表和任务清单表，制定“作战图”，修订完善相关制度和治理措施，按照时间进度要求开展安全生产宣传教育、排查整治工作，扎实稳步推进专项行动各项工作，切实筑牢安全生产防线。今年以来，共组织各类检查人员6000余人，检查各类生产经营单位1869家，查出各类事故隐患7114处，整改落实6262处，其余正在整改中。其中县安委办挂牌督办重大隐患9处，已整改落实6处，其余3处在12月底前整改到位。三是进一步强化打非治违措施，守护安全底线。压实乡镇打非治违主体责任，推动打非治违关口前移、重心下移；强化协调联动，建立健全各部门联合执法、信息共享、举报奖励等工作机制，动员企业员工和广大群众积极参与，推动形成工作合力；发挥好各级重点联系督导组的作用，及时通过警示、通报、约谈、问责、考核等多种手段，以点带面推动“打非治违”工作落实落细。国庆长假期间和二十大召开前后，我县树牢“一盘棋”思想，加强统筹协调，周密安排部署，对17个重点行业领域开展安全隐患大排查、大整治。截止目前，全县安全生产打非治违三年行动共打击非法违法行为431起，立案391起，移送司法起诉31人，关闭取缔生产经营单位30家，停产整顿企业131家，立案查处非法违法行为2378起，罚款1084.4万，媒体公开曝光25起，举报核实40起，兑现奖励8.48万元。四是强化督导督查，压实责任落实。县委、县政府主要领导率先垂范，深入园区、库区、厂区开展明察暗访、督导检查；“四大家”县级领导分别带队深入分管的行业领域和联系的乡镇（产业园区、管理处）督查暗访安全生产工作300余次；县安委办牵头开展专项督查7次，县安委会成员单位和负有安全生产监管工作职责的单位主要负责人和领导班子成员带队检查1000余次。对发现的问题隐患，召开集中交办会，督促整改到位，形成了“一月一督查、一月一通报、一月一交办、一季一讲评”的工作机制。</w:t>
      </w:r>
    </w:p>
    <w:p>
      <w:pPr>
        <w:ind w:firstLine="640" w:firstLineChars="200"/>
        <w:rPr>
          <w:rFonts w:ascii="仿宋" w:hAnsi="仿宋" w:eastAsia="仿宋" w:cs="仿宋"/>
          <w:sz w:val="32"/>
          <w:szCs w:val="32"/>
        </w:rPr>
      </w:pPr>
      <w:r>
        <w:rPr>
          <w:rFonts w:hint="eastAsia" w:ascii="仿宋" w:hAnsi="仿宋" w:eastAsia="仿宋" w:cs="仿宋"/>
          <w:sz w:val="32"/>
          <w:szCs w:val="32"/>
        </w:rPr>
        <w:t>（三）夯实自然灾害防御能力，全面提升防灾减灾应对水平。为进一步健全自然灾害风险监测预警联动机制，扩大安全风险监测预警系统覆盖面，重点强化对水旱灾害、地质灾害、森林火灾和气象灾害等灾种的监测预警研判，积极落实县（部门）、乡、村三级防汛抗旱、森林防灭火、防灾减灾责任，确保实现不死人、少伤人、少损失的目标，主动扛起保一方平安的政治责任。一是强化24小时应急值班备勤工作。全面压实各部门、各乡镇“领导带班、组长领班、全天值守”的24小时值班值守制度，如遇突发险情、灾情，确保第一时间发现、第一时间处置、第一时间报告，自觉强化人民安危“守夜人”的角色定位。二是做好“防大汛、抗大旱、抢大险”应急准备，确保全年安全度汛。在4至9月份的主汛期，针对灾害性天气可能带来的风险采取预防措施，立足于防、立足于早、立足于细，切实增强责任感和紧迫感，扎实做好今年的防汛物资储备，完善应急预案、开展应急演练、强化应急救援培训，做好应急抢险各项应对准备工作，确保“不垮一库一坝，不死一人”的全年工作目标。5月17日上午，县防汛抗旱指挥部办公室、县应急管理局联合相关部门和各乡镇在武阳镇、河口乡、鹅公岭乡三个乡镇多点同时开展防汛抢险应急演练和现场视频直播指挥调度，演练设置了防汛应急会商、无人机搜索、水上救援等7个科目，共740余人参加。三是压实防灭火责任链条，全力守护绿色生态保护红线。围绕“严防森林火灾，守护绿水青山”“不发生人为火灾，不造成人员伤亡”两个目标，从平常事着手，从落实上着力，全力守好绿色生态保护线。加强顶层设计，严格责任落实，创新方式方法，不断完善我县森林防灭火体制机制，全面推行责任清单制,建立县乡村组及护林员五级工作责任网格体系，切实做到山有人巡、林有人看、火有人管，织牢编密防灭火责任落实保障网。同时通过网络媒体、村村响、标语标牌、宣传车广泛宣传《森林防火禁火令》《森林防火条例》《邵阳市野外用火管理办法》。全年培训护林防火员300余人次，更新制作大型永久性宣传广告牌6座，设立宣传警示牌300余块，悬挂横幅标语1850余幅，出动宣传车680余次。近年，我县“火灾发生率、损失率”连年下降，火情火警明显减少。今年，我县无国家和省厅的“热点”预警，取得了“零火灾”“零伤亡”的全胜好成绩。</w:t>
      </w:r>
    </w:p>
    <w:p>
      <w:pPr>
        <w:ind w:firstLine="640" w:firstLineChars="200"/>
        <w:rPr>
          <w:rFonts w:ascii="仿宋" w:hAnsi="仿宋" w:eastAsia="仿宋" w:cs="仿宋"/>
          <w:sz w:val="32"/>
          <w:szCs w:val="32"/>
        </w:rPr>
      </w:pPr>
      <w:r>
        <w:rPr>
          <w:rFonts w:hint="eastAsia" w:ascii="仿宋" w:hAnsi="仿宋" w:eastAsia="仿宋" w:cs="仿宋"/>
          <w:sz w:val="32"/>
          <w:szCs w:val="32"/>
        </w:rPr>
        <w:t>（四）筑牢人民防线，广泛开展安全生产和防灾避险宣传。为进一步增强群众安全和防灾减灾救灾意识，提升全民自救互救能力，县减灾委结合我县特点，投入大量资金，采取群众喜闻乐见的方式，利用流动与固定、临时与永久、文字与声像手段，通过召开会议、网络媒体、村村响、标语标牌、宣传车等全面推进防灾减灾救灾宣传“五进”活动。县安委会办公室、县减灾委办公室联合17个乡镇和各村委会及社区等，开展了两轮以防灾减灾为主题的“幸福敲门、安全到家”宣传活动。两轮行动，我县平均每轮走访113251户，走访率97%，重点监管人员4394人。共发放宣传手册16万余份，挂历5万余份，宣传图册9万余份，上门排查整改隐患4437条，召开院落会1599次，发放学生安全倡议书34099份，制作安全宣传图画、音频25814个。今年5月12日和6月16日，我县在县城绿洲广场分别组织开展了“5.12”防灾减灾日集中宣传活动和第21个安全生产月“6.16”全县集中咨询日活动，共发放宣传资料36000多份，接受过往群众咨询3000余次，吸引群众8000余位，切实提高了广大人民群众的防灾减灾意识、安全意识和应急救援能力，营造了良好的舆论氛围。</w:t>
      </w:r>
    </w:p>
    <w:p>
      <w:pPr>
        <w:ind w:firstLine="640" w:firstLineChars="200"/>
        <w:rPr>
          <w:rFonts w:ascii="仿宋" w:hAnsi="仿宋" w:eastAsia="仿宋" w:cs="仿宋"/>
          <w:sz w:val="32"/>
          <w:szCs w:val="32"/>
        </w:rPr>
      </w:pPr>
      <w:r>
        <w:rPr>
          <w:rFonts w:hint="eastAsia" w:ascii="仿宋" w:hAnsi="仿宋" w:eastAsia="仿宋" w:cs="仿宋"/>
          <w:sz w:val="32"/>
          <w:szCs w:val="32"/>
        </w:rPr>
        <w:t>（五）全面提升我县应急能力建设，开创应急管理新局面。按照省市要求，加快打通应急能力建设的“最后一公里”。一是进一步加强应急管理基础能力建设。加快应急指挥中心建设，尽早建成具备应急值守、信息汇总、监测预警、指挥调度、会商决策、现场联通等功能的应急指挥中心。二是稳步推进乡镇应急能力建设。为筑牢安全生产第一道防线，确保乡镇基层安全生产日常监管，以“有班子、有机制、有预案、有队伍、有物资、有培训演练”为主要内容，在全县17个乡镇开展应急能力建设，强化基层应急救援指挥能力、救援队伍作战能力、监管人员执法能力、科技和信息化支撑能力、物资装备保障能力、恢复重建救助能力等。三是加强应急队伍建设。为提升各类灾害事故救援能力，努力打造一支专常兼备、反应灵敏、作风过硬、本领高强的应急“铁军”，以消防救援大队、森林防灭火二中队等为依托，分行业领域建立各类专兼职应急救援队伍。四是贯通“五级联动”应急机制。对照“全灾种”和“大应急”的形势任务，加快建立信息共享，强化预警响应高效指挥，进一步完善“分类别、分灾种、分等级”应急响应程序，建立高效畅通的省、市、县、镇（乡）、村“五级联动”机制。</w:t>
      </w:r>
    </w:p>
    <w:p>
      <w:pPr>
        <w:ind w:firstLine="640" w:firstLineChars="200"/>
        <w:rPr>
          <w:rFonts w:ascii="仿宋" w:hAnsi="仿宋" w:eastAsia="仿宋" w:cs="仿宋"/>
          <w:sz w:val="32"/>
          <w:szCs w:val="32"/>
        </w:rPr>
      </w:pPr>
    </w:p>
    <w:p>
      <w:pPr>
        <w:pStyle w:val="8"/>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七、存在的问题及原因分析</w:t>
      </w:r>
    </w:p>
    <w:p>
      <w:pPr>
        <w:ind w:firstLine="640" w:firstLineChars="200"/>
        <w:rPr>
          <w:rFonts w:ascii="仿宋" w:hAnsi="仿宋" w:eastAsia="仿宋" w:cs="仿宋"/>
          <w:sz w:val="32"/>
          <w:szCs w:val="32"/>
        </w:rPr>
      </w:pPr>
      <w:r>
        <w:rPr>
          <w:rFonts w:hint="eastAsia" w:ascii="仿宋" w:hAnsi="仿宋" w:eastAsia="仿宋" w:cs="仿宋"/>
          <w:sz w:val="32"/>
          <w:szCs w:val="32"/>
        </w:rPr>
        <w:t>虽然我县安全生产、自然灾害防治、森林防灭火和应急救援等各项工作取得了一定进展和工作成效，但在工作推进过程中，仍然存在一些问题和不足，面临一些困难和挑战，具体表现在：</w:t>
      </w:r>
    </w:p>
    <w:p>
      <w:pPr>
        <w:ind w:firstLine="643" w:firstLineChars="200"/>
        <w:rPr>
          <w:rFonts w:ascii="仿宋" w:hAnsi="仿宋" w:eastAsia="仿宋" w:cs="仿宋"/>
          <w:sz w:val="32"/>
          <w:szCs w:val="32"/>
        </w:rPr>
      </w:pPr>
      <w:r>
        <w:rPr>
          <w:rFonts w:hint="eastAsia" w:ascii="楷体" w:hAnsi="楷体" w:eastAsia="楷体" w:cs="楷体"/>
          <w:b/>
          <w:bCs/>
          <w:color w:val="000000"/>
          <w:sz w:val="32"/>
          <w:szCs w:val="32"/>
          <w:shd w:val="clear" w:color="auto" w:fill="FFFFFF"/>
        </w:rPr>
        <w:t>（一）问题一</w:t>
      </w:r>
      <w:r>
        <w:rPr>
          <w:rFonts w:hint="eastAsia" w:ascii="仿宋" w:hAnsi="仿宋" w:eastAsia="仿宋" w:cs="仿宋"/>
          <w:sz w:val="32"/>
          <w:szCs w:val="32"/>
        </w:rPr>
        <w:t>。企业落实主体责任还不到位。我县坚持宣传教育、执法监督两手抓，推动、倒逼企业落实主体责任，绝大部分国企、化工企业主体责任意识普遍增强，但一些小微企业，特别是一些竹木加工企业安全生产主体责任落实仍不到位，安全生产“上热下冷”现象还没有根本消除。一些企业负责人法治观念淡薄、侥幸心理严重、安全知识缺乏，落实主体责任流于形式；有的企业依然存在安全生产监管不到位、缺乏有效的安全生产教育培训等问题。特别是受疫情影响，部分企业生产经营困难，安全投入不足，安全风险进一步增加。</w:t>
      </w:r>
    </w:p>
    <w:p>
      <w:pPr>
        <w:ind w:firstLine="643" w:firstLineChars="200"/>
        <w:rPr>
          <w:rFonts w:ascii="仿宋" w:hAnsi="仿宋" w:eastAsia="仿宋" w:cs="仿宋"/>
          <w:sz w:val="32"/>
          <w:szCs w:val="32"/>
        </w:rPr>
      </w:pPr>
      <w:r>
        <w:rPr>
          <w:rFonts w:hint="eastAsia" w:ascii="楷体" w:hAnsi="楷体" w:eastAsia="楷体" w:cs="楷体"/>
          <w:b/>
          <w:bCs/>
          <w:color w:val="000000"/>
          <w:sz w:val="32"/>
          <w:szCs w:val="32"/>
          <w:shd w:val="clear" w:color="auto" w:fill="FFFFFF"/>
        </w:rPr>
        <w:t>（二）问题二。</w:t>
      </w:r>
      <w:r>
        <w:rPr>
          <w:rFonts w:hint="eastAsia" w:ascii="仿宋" w:hAnsi="仿宋" w:eastAsia="仿宋" w:cs="仿宋"/>
          <w:sz w:val="32"/>
          <w:szCs w:val="32"/>
        </w:rPr>
        <w:t>.“三管三必须”理念有待进一步加强。对于安全生产工作，少数部门和乡镇领导重视程度不够，工作布置多、督促检查少，以会议贯彻会议、以文件落实文件的现象偶有发生，存有侥幸心理和麻痹思想，没有真正树立起“人民至上、生命至上”的理念，没有把安全生产摆上重要议事日程，“安全生产第一责任人”职责履行还不到位，部分行业主管部门协调机制不畅，数据、信息没有实现共享互通，联动机制没有真正运转起来。</w:t>
      </w:r>
    </w:p>
    <w:p>
      <w:pPr>
        <w:ind w:firstLine="643" w:firstLineChars="200"/>
        <w:rPr>
          <w:rFonts w:ascii="仿宋" w:hAnsi="仿宋" w:eastAsia="仿宋" w:cs="仿宋"/>
          <w:sz w:val="32"/>
          <w:szCs w:val="32"/>
        </w:rPr>
      </w:pPr>
      <w:r>
        <w:rPr>
          <w:rFonts w:hint="eastAsia" w:ascii="楷体" w:hAnsi="楷体" w:eastAsia="楷体" w:cs="楷体"/>
          <w:b/>
          <w:bCs/>
          <w:color w:val="000000"/>
          <w:sz w:val="32"/>
          <w:szCs w:val="32"/>
          <w:shd w:val="clear" w:color="auto" w:fill="FFFFFF"/>
        </w:rPr>
        <w:t>（三）问题三。</w:t>
      </w:r>
      <w:r>
        <w:rPr>
          <w:rFonts w:hint="eastAsia" w:ascii="仿宋" w:hAnsi="仿宋" w:eastAsia="仿宋" w:cs="仿宋"/>
          <w:sz w:val="32"/>
          <w:szCs w:val="32"/>
        </w:rPr>
        <w:t>.行业管理部门重检查、轻执法现象依然存在。部分乡镇和行业主管部门存在只监管不执法、只执法不处罚的现象，基本以责令整改为主，没有采取铁的手腕严厉打击安全生产领域的非法违法行为，监管执法失之于宽、失之于松、失之于软，“以查代罚、查而不罚”的情况较为普遍，安全执法多年“零处罚”，没有发挥应有的惩戒震慑作用。</w:t>
      </w:r>
    </w:p>
    <w:p>
      <w:pPr>
        <w:ind w:firstLine="643" w:firstLineChars="200"/>
        <w:rPr>
          <w:rFonts w:ascii="仿宋" w:hAnsi="仿宋" w:eastAsia="仿宋" w:cs="仿宋"/>
          <w:sz w:val="32"/>
          <w:szCs w:val="32"/>
        </w:rPr>
      </w:pPr>
      <w:r>
        <w:rPr>
          <w:rFonts w:hint="eastAsia" w:ascii="楷体" w:hAnsi="楷体" w:eastAsia="楷体" w:cs="楷体"/>
          <w:b/>
          <w:bCs/>
          <w:color w:val="000000"/>
          <w:sz w:val="32"/>
          <w:szCs w:val="32"/>
          <w:shd w:val="clear" w:color="auto" w:fill="FFFFFF"/>
        </w:rPr>
        <w:t>（四）问题四。</w:t>
      </w:r>
      <w:r>
        <w:rPr>
          <w:rFonts w:hint="eastAsia" w:ascii="仿宋" w:hAnsi="仿宋" w:eastAsia="仿宋" w:cs="仿宋"/>
          <w:sz w:val="32"/>
          <w:szCs w:val="32"/>
        </w:rPr>
        <w:t>监管力量专业水平不足。安全生产涉及行业广、标准高、工作量大，但基层安全监管力量相对薄弱，专业技术人员缺乏。大部分安全检查的专业性和针对性不强，检查人员不具备相应的专业知识，不熟悉企业生产工艺和危险环节，导致检查浮于表面。近几年，随着安全生产压力加大，基层安监人员流动性越来越大，安全监管队伍不稳定，在安全生产工作上投入的时间精力不足。</w:t>
      </w:r>
    </w:p>
    <w:p>
      <w:pPr>
        <w:ind w:firstLine="803" w:firstLineChars="250"/>
        <w:rPr>
          <w:rFonts w:ascii="仿宋" w:hAnsi="仿宋" w:eastAsia="仿宋"/>
          <w:color w:val="000000" w:themeColor="text1"/>
          <w:sz w:val="32"/>
          <w:szCs w:val="32"/>
        </w:rPr>
      </w:pPr>
      <w:r>
        <w:rPr>
          <w:rFonts w:hint="eastAsia" w:ascii="楷体" w:hAnsi="楷体" w:eastAsia="楷体" w:cs="楷体"/>
          <w:b/>
          <w:bCs/>
          <w:color w:val="000000"/>
          <w:sz w:val="32"/>
          <w:szCs w:val="32"/>
          <w:shd w:val="clear" w:color="auto" w:fill="FFFFFF"/>
        </w:rPr>
        <w:t>（五）问题五</w:t>
      </w:r>
      <w:r>
        <w:rPr>
          <w:rFonts w:hint="eastAsia" w:ascii="仿宋" w:hAnsi="仿宋" w:eastAsia="仿宋" w:cs="仿宋"/>
          <w:color w:val="000000"/>
          <w:sz w:val="32"/>
          <w:szCs w:val="32"/>
          <w:shd w:val="clear" w:color="auto" w:fill="FFFFFF"/>
        </w:rPr>
        <w:t>。</w:t>
      </w:r>
      <w:r>
        <w:rPr>
          <w:rFonts w:ascii="仿宋" w:hAnsi="仿宋" w:eastAsia="仿宋"/>
          <w:color w:val="000000" w:themeColor="text1"/>
          <w:sz w:val="32"/>
          <w:szCs w:val="32"/>
        </w:rPr>
        <w:t>预算执行</w:t>
      </w:r>
      <w:r>
        <w:rPr>
          <w:rFonts w:hint="eastAsia" w:ascii="仿宋" w:hAnsi="仿宋" w:eastAsia="仿宋"/>
          <w:color w:val="000000" w:themeColor="text1"/>
          <w:sz w:val="32"/>
          <w:szCs w:val="32"/>
        </w:rPr>
        <w:t>方面</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rPr>
        <w:t>：还存年年初预算金额过小，与实际工作的需求存在不一致的地方，中途需增加预算的情况较多。</w:t>
      </w:r>
      <w:r>
        <w:rPr>
          <w:rFonts w:ascii="仿宋" w:hAnsi="仿宋" w:eastAsia="仿宋"/>
          <w:color w:val="000000" w:themeColor="text1"/>
          <w:sz w:val="32"/>
          <w:szCs w:val="32"/>
        </w:rPr>
        <w:t>内部管理</w:t>
      </w:r>
      <w:r>
        <w:rPr>
          <w:rFonts w:hint="eastAsia" w:ascii="仿宋" w:hAnsi="仿宋" w:eastAsia="仿宋"/>
          <w:color w:val="000000" w:themeColor="text1"/>
          <w:sz w:val="32"/>
          <w:szCs w:val="32"/>
        </w:rPr>
        <w:t>:内控制度较多，执行方面还需更加严格。</w:t>
      </w:r>
    </w:p>
    <w:p>
      <w:pPr>
        <w:pStyle w:val="8"/>
        <w:widowControl/>
        <w:shd w:val="clear" w:color="auto" w:fill="FFFFFF"/>
        <w:spacing w:beforeAutospacing="0" w:afterAutospacing="0" w:line="480" w:lineRule="atLeas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八、下一步改进措施</w:t>
      </w:r>
    </w:p>
    <w:p>
      <w:pPr>
        <w:autoSpaceDN w:val="0"/>
        <w:ind w:firstLine="640" w:firstLineChars="200"/>
        <w:outlineLvl w:val="0"/>
        <w:rPr>
          <w:rFonts w:ascii="仿宋" w:hAnsi="仿宋" w:eastAsia="仿宋"/>
          <w:color w:val="000000" w:themeColor="text1"/>
          <w:sz w:val="32"/>
          <w:szCs w:val="32"/>
        </w:rPr>
      </w:pPr>
      <w:r>
        <w:rPr>
          <w:rFonts w:ascii="仿宋" w:hAnsi="仿宋" w:eastAsia="仿宋"/>
          <w:color w:val="000000" w:themeColor="text1"/>
          <w:sz w:val="32"/>
          <w:szCs w:val="32"/>
        </w:rPr>
        <w:t>（一）</w:t>
      </w:r>
      <w:r>
        <w:rPr>
          <w:rFonts w:hint="eastAsia" w:ascii="仿宋" w:hAnsi="仿宋" w:eastAsia="仿宋"/>
          <w:color w:val="000000" w:themeColor="text1"/>
          <w:sz w:val="32"/>
          <w:szCs w:val="32"/>
        </w:rPr>
        <w:t>建议一</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rPr>
        <w:t>：继续加强安全生产及各项工作的宣传、培训、学习，提高专业能力，推进工作，提高工作效率。</w:t>
      </w:r>
    </w:p>
    <w:p>
      <w:pPr>
        <w:autoSpaceDN w:val="0"/>
        <w:ind w:firstLine="642"/>
        <w:rPr>
          <w:rFonts w:ascii="仿宋" w:hAnsi="仿宋" w:eastAsia="仿宋" w:cs="仿宋"/>
          <w:color w:val="000000" w:themeColor="text1"/>
          <w:sz w:val="30"/>
          <w:szCs w:val="30"/>
          <w:shd w:val="clear" w:color="auto" w:fill="FFFFFF"/>
        </w:rPr>
      </w:pPr>
      <w:r>
        <w:rPr>
          <w:rFonts w:ascii="仿宋" w:hAnsi="仿宋" w:eastAsia="仿宋"/>
          <w:color w:val="000000" w:themeColor="text1"/>
          <w:sz w:val="32"/>
          <w:szCs w:val="32"/>
        </w:rPr>
        <w:t>（二）</w:t>
      </w:r>
      <w:r>
        <w:rPr>
          <w:rFonts w:hint="eastAsia" w:ascii="仿宋" w:hAnsi="仿宋" w:eastAsia="仿宋"/>
          <w:color w:val="000000" w:themeColor="text1"/>
          <w:sz w:val="32"/>
          <w:szCs w:val="32"/>
        </w:rPr>
        <w:t>建议二：</w:t>
      </w:r>
      <w:r>
        <w:rPr>
          <w:rFonts w:ascii="仿宋" w:hAnsi="仿宋" w:eastAsia="仿宋" w:cs="仿宋"/>
          <w:color w:val="000000" w:themeColor="text1"/>
          <w:sz w:val="30"/>
          <w:szCs w:val="30"/>
          <w:shd w:val="clear" w:color="auto" w:fill="FFFFFF"/>
        </w:rPr>
        <w:t>加强单位财务管理，健全单位财务管理制度体系，规范单位财务行为。</w:t>
      </w:r>
    </w:p>
    <w:p>
      <w:pPr>
        <w:autoSpaceDN w:val="0"/>
        <w:ind w:firstLine="642"/>
        <w:rPr>
          <w:rFonts w:ascii="仿宋" w:hAnsi="仿宋" w:eastAsia="仿宋"/>
          <w:color w:val="000000" w:themeColor="text1"/>
          <w:sz w:val="32"/>
          <w:szCs w:val="32"/>
        </w:rPr>
      </w:pPr>
      <w:r>
        <w:rPr>
          <w:rFonts w:ascii="仿宋" w:hAnsi="仿宋" w:eastAsia="仿宋"/>
          <w:color w:val="000000" w:themeColor="text1"/>
          <w:sz w:val="32"/>
          <w:szCs w:val="32"/>
        </w:rPr>
        <w:t>（三）</w:t>
      </w:r>
      <w:r>
        <w:rPr>
          <w:rFonts w:hint="eastAsia" w:ascii="仿宋" w:hAnsi="仿宋" w:eastAsia="仿宋"/>
          <w:color w:val="000000" w:themeColor="text1"/>
          <w:sz w:val="32"/>
          <w:szCs w:val="32"/>
        </w:rPr>
        <w:t>建议三：加强单位绩效管理队伍建设和业务培训，建立绩效评价长效机制。</w:t>
      </w:r>
    </w:p>
    <w:p>
      <w:pPr>
        <w:pStyle w:val="8"/>
        <w:widowControl/>
        <w:shd w:val="clear" w:color="auto" w:fill="FFFFFF"/>
        <w:spacing w:beforeAutospacing="0" w:afterAutospacing="0" w:line="480" w:lineRule="atLeast"/>
        <w:ind w:firstLine="645"/>
        <w:rPr>
          <w:rFonts w:ascii="仿宋" w:hAnsi="仿宋" w:eastAsia="仿宋" w:cs="仿宋"/>
          <w:color w:val="000000"/>
          <w:sz w:val="32"/>
          <w:szCs w:val="32"/>
        </w:rPr>
      </w:pPr>
    </w:p>
    <w:p>
      <w:pPr>
        <w:pStyle w:val="8"/>
        <w:widowControl/>
        <w:shd w:val="clear" w:color="auto" w:fill="FFFFFF"/>
        <w:spacing w:beforeAutospacing="0" w:afterAutospacing="0" w:line="480" w:lineRule="atLeast"/>
        <w:ind w:firstLine="645"/>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8"/>
        <w:widowControl/>
        <w:shd w:val="clear" w:color="auto" w:fill="FFFFFF"/>
        <w:spacing w:beforeAutospacing="0" w:afterAutospacing="0" w:line="480" w:lineRule="atLeast"/>
        <w:ind w:firstLine="1609" w:firstLineChars="503"/>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2.部门整体支出绩效自评表</w:t>
      </w:r>
    </w:p>
    <w:p>
      <w:pPr>
        <w:pStyle w:val="8"/>
        <w:widowControl/>
        <w:shd w:val="clear" w:color="auto" w:fill="FFFFFF"/>
        <w:spacing w:beforeAutospacing="0" w:afterAutospacing="0" w:line="480" w:lineRule="atLeast"/>
        <w:jc w:val="both"/>
        <w:rPr>
          <w:rFonts w:ascii="仿宋" w:hAnsi="仿宋" w:eastAsia="仿宋" w:cs="仿宋"/>
          <w:color w:val="000000"/>
        </w:rPr>
      </w:pPr>
      <w:r>
        <w:rPr>
          <w:rFonts w:hint="eastAsia" w:ascii="黑体" w:hAnsi="黑体" w:eastAsia="黑体" w:cs="黑体"/>
          <w:color w:val="000000"/>
          <w:sz w:val="32"/>
          <w:szCs w:val="32"/>
          <w:shd w:val="clear" w:color="auto" w:fill="FFFFFF"/>
        </w:rPr>
        <w:t>附件1-1</w:t>
      </w:r>
    </w:p>
    <w:p>
      <w:pPr>
        <w:spacing w:line="740" w:lineRule="exact"/>
        <w:jc w:val="center"/>
        <w:rPr>
          <w:rFonts w:ascii="黑体" w:hAnsi="黑体" w:eastAsia="黑体" w:cs="黑体"/>
          <w:spacing w:val="-20"/>
          <w:sz w:val="44"/>
          <w:szCs w:val="44"/>
        </w:rPr>
      </w:pPr>
      <w:r>
        <w:rPr>
          <w:rFonts w:hint="eastAsia" w:ascii="黑体" w:hAnsi="黑体" w:eastAsia="黑体" w:cs="黑体"/>
          <w:spacing w:val="-20"/>
          <w:sz w:val="44"/>
          <w:szCs w:val="44"/>
        </w:rPr>
        <w:t>2022年度部门整体支出绩效评价基础数据表</w:t>
      </w:r>
    </w:p>
    <w:p>
      <w:pPr>
        <w:spacing w:line="200" w:lineRule="exact"/>
        <w:jc w:val="center"/>
        <w:rPr>
          <w:rFonts w:eastAsia="方正小标宋_GBK"/>
          <w:sz w:val="44"/>
        </w:rPr>
      </w:pPr>
    </w:p>
    <w:tbl>
      <w:tblPr>
        <w:tblStyle w:val="10"/>
        <w:tblW w:w="10045" w:type="dxa"/>
        <w:jc w:val="center"/>
        <w:tblInd w:w="0" w:type="dxa"/>
        <w:tblLayout w:type="fixed"/>
        <w:tblCellMar>
          <w:top w:w="0" w:type="dxa"/>
          <w:left w:w="108" w:type="dxa"/>
          <w:bottom w:w="0" w:type="dxa"/>
          <w:right w:w="108" w:type="dxa"/>
        </w:tblCellMar>
      </w:tblPr>
      <w:tblGrid>
        <w:gridCol w:w="3543"/>
        <w:gridCol w:w="1207"/>
        <w:gridCol w:w="930"/>
        <w:gridCol w:w="945"/>
        <w:gridCol w:w="1044"/>
        <w:gridCol w:w="1221"/>
        <w:gridCol w:w="1155"/>
      </w:tblGrid>
      <w:tr>
        <w:tblPrEx>
          <w:tblLayout w:type="fixed"/>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1989"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7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控制率</w:t>
            </w:r>
          </w:p>
        </w:tc>
      </w:tr>
      <w:tr>
        <w:tblPrEx>
          <w:tblLayout w:type="fixed"/>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49</w:t>
            </w:r>
          </w:p>
        </w:tc>
        <w:tc>
          <w:tcPr>
            <w:tcW w:w="1989"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4</w:t>
            </w:r>
            <w:r>
              <w:rPr>
                <w:rFonts w:hint="eastAsia" w:ascii="仿宋" w:hAnsi="仿宋" w:eastAsia="仿宋" w:cs="仿宋"/>
                <w:kern w:val="0"/>
                <w:szCs w:val="21"/>
                <w:lang w:val="en-US" w:eastAsia="zh-CN"/>
              </w:rPr>
              <w:t>7</w:t>
            </w:r>
          </w:p>
        </w:tc>
        <w:tc>
          <w:tcPr>
            <w:tcW w:w="237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95.92</w:t>
            </w:r>
            <w:r>
              <w:rPr>
                <w:rFonts w:hint="eastAsia" w:ascii="仿宋" w:hAnsi="仿宋" w:eastAsia="仿宋" w:cs="仿宋"/>
                <w:kern w:val="0"/>
                <w:szCs w:val="21"/>
              </w:rPr>
              <w:t>%</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15.48</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20</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9.5</w:t>
            </w:r>
            <w:r>
              <w:rPr>
                <w:rFonts w:hint="eastAsia" w:ascii="仿宋" w:hAnsi="仿宋" w:eastAsia="仿宋" w:cs="仿宋"/>
                <w:kern w:val="0"/>
                <w:szCs w:val="21"/>
                <w:lang w:val="en-US" w:eastAsia="zh-CN"/>
              </w:rPr>
              <w:t>1</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8.99</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10</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4</w:t>
            </w:r>
            <w:r>
              <w:rPr>
                <w:rFonts w:hint="eastAsia" w:ascii="仿宋" w:hAnsi="仿宋" w:eastAsia="仿宋" w:cs="仿宋"/>
                <w:kern w:val="0"/>
                <w:szCs w:val="21"/>
                <w:lang w:val="en-US" w:eastAsia="zh-CN"/>
              </w:rPr>
              <w:t>.01</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　</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8.99</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10</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4</w:t>
            </w:r>
            <w:r>
              <w:rPr>
                <w:rFonts w:hint="eastAsia" w:ascii="仿宋" w:hAnsi="仿宋" w:eastAsia="仿宋" w:cs="仿宋"/>
                <w:kern w:val="0"/>
                <w:szCs w:val="21"/>
                <w:lang w:val="en-US" w:eastAsia="zh-CN"/>
              </w:rPr>
              <w:t>.01</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　</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6.49</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5.5</w:t>
            </w:r>
            <w:r>
              <w:rPr>
                <w:rFonts w:hint="eastAsia" w:ascii="仿宋" w:hAnsi="仿宋" w:eastAsia="仿宋" w:cs="仿宋"/>
                <w:kern w:val="0"/>
                <w:szCs w:val="21"/>
                <w:lang w:val="en-US" w:eastAsia="zh-CN"/>
              </w:rPr>
              <w:t>0</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754.03</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235</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103.6</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235</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　</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287"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　</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103.6</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其中：省级专项资金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754.03</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103.6</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kern w:val="0"/>
                <w:szCs w:val="21"/>
              </w:rPr>
              <w:t xml:space="preserve">   </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247.42</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92.31</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430.96</w:t>
            </w:r>
          </w:p>
        </w:tc>
      </w:tr>
      <w:tr>
        <w:tblPrEx>
          <w:tblLayout w:type="fixed"/>
          <w:tblCellMar>
            <w:top w:w="0" w:type="dxa"/>
            <w:left w:w="108" w:type="dxa"/>
            <w:bottom w:w="0" w:type="dxa"/>
            <w:right w:w="108" w:type="dxa"/>
          </w:tblCellMar>
        </w:tblPrEx>
        <w:trPr>
          <w:trHeight w:val="334"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34.3</w:t>
            </w:r>
            <w:r>
              <w:rPr>
                <w:rFonts w:hint="eastAsia" w:ascii="仿宋" w:hAnsi="仿宋" w:eastAsia="仿宋" w:cs="仿宋"/>
                <w:kern w:val="0"/>
                <w:szCs w:val="21"/>
                <w:lang w:val="en-US" w:eastAsia="zh-CN"/>
              </w:rPr>
              <w:t>8</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12</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23.4</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23.08</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14.7</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44.7</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27</w:t>
            </w:r>
            <w:r>
              <w:rPr>
                <w:rFonts w:hint="eastAsia" w:ascii="仿宋" w:hAnsi="仿宋" w:eastAsia="仿宋" w:cs="仿宋"/>
                <w:kern w:val="0"/>
                <w:szCs w:val="21"/>
                <w:lang w:val="en-US" w:eastAsia="zh-CN"/>
              </w:rPr>
              <w:t>.01</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7</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14.2</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0</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　</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c>
          <w:tcPr>
            <w:tcW w:w="1989"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c>
          <w:tcPr>
            <w:tcW w:w="237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Layout w:type="fixed"/>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楼堂馆所控制情况</w:t>
            </w:r>
            <w:r>
              <w:rPr>
                <w:rFonts w:hint="eastAsia" w:ascii="仿宋" w:hAnsi="仿宋" w:eastAsia="仿宋" w:cs="仿宋"/>
                <w:b/>
                <w:bCs/>
                <w:kern w:val="0"/>
                <w:szCs w:val="21"/>
              </w:rPr>
              <w:br w:type="textWrapping"/>
            </w: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批复规模</w:t>
            </w:r>
            <w:r>
              <w:rPr>
                <w:rFonts w:hint="eastAsia" w:ascii="仿宋" w:hAnsi="仿宋" w:eastAsia="仿宋" w:cs="仿宋"/>
                <w:kern w:val="0"/>
                <w:szCs w:val="21"/>
              </w:rPr>
              <w:br w:type="textWrapping"/>
            </w: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规模控制率</w:t>
            </w:r>
          </w:p>
        </w:tc>
        <w:tc>
          <w:tcPr>
            <w:tcW w:w="1044"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预算投资（万元）</w:t>
            </w:r>
          </w:p>
        </w:tc>
        <w:tc>
          <w:tcPr>
            <w:tcW w:w="1221"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投资概算控制率</w:t>
            </w:r>
          </w:p>
        </w:tc>
      </w:tr>
      <w:tr>
        <w:tblPrEx>
          <w:tblLayout w:type="fixed"/>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0</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　</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044"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　</w:t>
            </w:r>
          </w:p>
        </w:tc>
        <w:tc>
          <w:tcPr>
            <w:tcW w:w="1221"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0</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spacing w:line="240" w:lineRule="exact"/>
              <w:ind w:firstLine="315" w:firstLineChars="150"/>
              <w:rPr>
                <w:rFonts w:ascii="仿宋" w:hAnsi="仿宋" w:eastAsia="仿宋" w:cs="仿宋"/>
                <w:kern w:val="0"/>
                <w:szCs w:val="21"/>
              </w:rPr>
            </w:pPr>
            <w:r>
              <w:rPr>
                <w:rFonts w:hint="eastAsia" w:ascii="仿宋" w:hAnsi="仿宋" w:eastAsia="仿宋" w:cs="仿宋"/>
                <w:kern w:val="0"/>
                <w:szCs w:val="21"/>
              </w:rPr>
              <w:t>严格执行各项财经纪律，规范支出管理，贯彻落实县委县政府过“紧日子”要求，超预算、超支出、超范围、无政策依据的经费不予支出。</w:t>
            </w:r>
          </w:p>
        </w:tc>
      </w:tr>
      <w:tr>
        <w:tblPrEx>
          <w:tblLayout w:type="fixed"/>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spacing w:line="240" w:lineRule="exact"/>
              <w:ind w:firstLine="315" w:firstLineChars="150"/>
              <w:rPr>
                <w:rFonts w:ascii="仿宋" w:hAnsi="仿宋" w:eastAsia="仿宋" w:cs="仿宋"/>
                <w:kern w:val="0"/>
                <w:szCs w:val="21"/>
              </w:rPr>
            </w:pPr>
          </w:p>
        </w:tc>
      </w:tr>
    </w:tbl>
    <w:p>
      <w:pPr>
        <w:widowControl/>
        <w:spacing w:line="240" w:lineRule="exact"/>
        <w:jc w:val="left"/>
        <w:rPr>
          <w:rFonts w:eastAsia="仿宋_GB2312"/>
          <w:kern w:val="0"/>
          <w:szCs w:val="21"/>
        </w:rPr>
      </w:pPr>
    </w:p>
    <w:p>
      <w:pPr>
        <w:spacing w:line="579" w:lineRule="exact"/>
        <w:rPr>
          <w:rFonts w:ascii="黑体" w:hAnsi="黑体" w:eastAsia="黑体" w:cs="黑体"/>
          <w:color w:val="000000"/>
          <w:sz w:val="32"/>
          <w:szCs w:val="32"/>
        </w:rPr>
      </w:pPr>
    </w:p>
    <w:p>
      <w:pPr>
        <w:spacing w:line="579" w:lineRule="exact"/>
        <w:rPr>
          <w:rFonts w:ascii="黑体" w:hAnsi="黑体" w:eastAsia="黑体" w:cs="黑体"/>
          <w:color w:val="000000"/>
          <w:sz w:val="32"/>
          <w:szCs w:val="32"/>
        </w:rPr>
      </w:pPr>
    </w:p>
    <w:p>
      <w:pPr>
        <w:spacing w:line="579" w:lineRule="exact"/>
        <w:rPr>
          <w:rFonts w:ascii="黑体" w:hAnsi="黑体" w:eastAsia="黑体" w:cs="黑体"/>
          <w:color w:val="000000"/>
          <w:sz w:val="32"/>
          <w:szCs w:val="32"/>
        </w:rPr>
      </w:pPr>
      <w:r>
        <w:rPr>
          <w:rFonts w:hint="eastAsia" w:ascii="黑体" w:hAnsi="黑体" w:eastAsia="黑体" w:cs="黑体"/>
          <w:color w:val="000000"/>
          <w:sz w:val="32"/>
          <w:szCs w:val="32"/>
        </w:rPr>
        <w:t>附件1-2</w:t>
      </w:r>
    </w:p>
    <w:p>
      <w:pPr>
        <w:spacing w:line="300" w:lineRule="exact"/>
        <w:rPr>
          <w:rFonts w:eastAsia="黑体"/>
          <w:color w:val="000000"/>
          <w:sz w:val="32"/>
          <w:szCs w:val="32"/>
        </w:rPr>
      </w:pPr>
    </w:p>
    <w:p>
      <w:pPr>
        <w:spacing w:line="740" w:lineRule="exact"/>
        <w:jc w:val="center"/>
        <w:rPr>
          <w:rFonts w:ascii="黑体" w:hAnsi="黑体" w:eastAsia="黑体" w:cs="黑体"/>
          <w:sz w:val="44"/>
        </w:rPr>
      </w:pPr>
      <w:r>
        <w:rPr>
          <w:rFonts w:hint="eastAsia" w:ascii="黑体" w:hAnsi="黑体" w:eastAsia="黑体" w:cs="黑体"/>
          <w:sz w:val="44"/>
        </w:rPr>
        <w:t>2022年度部门整体支出绩效自评表</w:t>
      </w:r>
    </w:p>
    <w:p>
      <w:pPr>
        <w:spacing w:line="300" w:lineRule="exact"/>
        <w:jc w:val="center"/>
        <w:rPr>
          <w:rFonts w:eastAsia="方正小标宋_GBK"/>
          <w:sz w:val="44"/>
        </w:rPr>
      </w:pPr>
    </w:p>
    <w:tbl>
      <w:tblPr>
        <w:tblStyle w:val="10"/>
        <w:tblW w:w="10415" w:type="dxa"/>
        <w:jc w:val="center"/>
        <w:tblInd w:w="0" w:type="dxa"/>
        <w:tblLayout w:type="fixed"/>
        <w:tblCellMar>
          <w:top w:w="0" w:type="dxa"/>
          <w:left w:w="108" w:type="dxa"/>
          <w:bottom w:w="0" w:type="dxa"/>
          <w:right w:w="108" w:type="dxa"/>
        </w:tblCellMar>
      </w:tblPr>
      <w:tblGrid>
        <w:gridCol w:w="716"/>
        <w:gridCol w:w="851"/>
        <w:gridCol w:w="770"/>
        <w:gridCol w:w="1350"/>
        <w:gridCol w:w="253"/>
        <w:gridCol w:w="1514"/>
        <w:gridCol w:w="1608"/>
        <w:gridCol w:w="825"/>
        <w:gridCol w:w="1455"/>
        <w:gridCol w:w="1073"/>
      </w:tblGrid>
      <w:tr>
        <w:tblPrEx>
          <w:tblLayout w:type="fixed"/>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绥宁县应急管理局　</w:t>
            </w:r>
          </w:p>
        </w:tc>
      </w:tr>
      <w:tr>
        <w:tblPrEx>
          <w:tblLayout w:type="fixed"/>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年度预算申请（万元）</w:t>
            </w:r>
          </w:p>
        </w:tc>
        <w:tc>
          <w:tcPr>
            <w:tcW w:w="1621"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p>
        </w:tc>
        <w:tc>
          <w:tcPr>
            <w:tcW w:w="1350"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年初预算数</w:t>
            </w:r>
          </w:p>
        </w:tc>
        <w:tc>
          <w:tcPr>
            <w:tcW w:w="1767"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全年预算数(A)</w:t>
            </w:r>
          </w:p>
        </w:tc>
        <w:tc>
          <w:tcPr>
            <w:tcW w:w="1608" w:type="dxa"/>
            <w:tcBorders>
              <w:top w:val="nil"/>
              <w:left w:val="nil"/>
              <w:bottom w:val="single" w:color="auto" w:sz="4" w:space="0"/>
              <w:right w:val="single" w:color="auto" w:sz="4" w:space="0"/>
            </w:tcBorders>
            <w:vAlign w:val="center"/>
          </w:tcPr>
          <w:p>
            <w:pPr>
              <w:spacing w:line="220" w:lineRule="exact"/>
              <w:rPr>
                <w:rFonts w:ascii="仿宋" w:hAnsi="仿宋" w:eastAsia="仿宋" w:cs="仿宋"/>
                <w:color w:val="000000"/>
                <w:kern w:val="0"/>
                <w:szCs w:val="21"/>
              </w:rPr>
            </w:pPr>
            <w:r>
              <w:rPr>
                <w:rFonts w:hint="eastAsia" w:ascii="仿宋" w:hAnsi="仿宋" w:eastAsia="仿宋" w:cs="仿宋"/>
                <w:color w:val="000000"/>
                <w:kern w:val="0"/>
                <w:szCs w:val="21"/>
              </w:rPr>
              <w:t>全年执行数(B)</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执行率(B/A)</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r>
      <w:tr>
        <w:tblPrEx>
          <w:tblLayout w:type="fixed"/>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21" w:type="dxa"/>
            <w:gridSpan w:val="2"/>
            <w:tcBorders>
              <w:top w:val="nil"/>
              <w:left w:val="nil"/>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年度资金总额</w:t>
            </w:r>
          </w:p>
        </w:tc>
        <w:tc>
          <w:tcPr>
            <w:tcW w:w="1350"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757.74</w:t>
            </w:r>
          </w:p>
        </w:tc>
        <w:tc>
          <w:tcPr>
            <w:tcW w:w="1767" w:type="dxa"/>
            <w:gridSpan w:val="2"/>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1432.49</w:t>
            </w:r>
          </w:p>
        </w:tc>
        <w:tc>
          <w:tcPr>
            <w:tcW w:w="1608"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1433.2</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r>
              <w:rPr>
                <w:rFonts w:hint="eastAsia" w:ascii="仿宋" w:hAnsi="仿宋" w:eastAsia="仿宋" w:cs="仿宋"/>
                <w:color w:val="000000"/>
                <w:kern w:val="0"/>
                <w:szCs w:val="21"/>
                <w:lang w:val="en-US" w:eastAsia="zh-CN"/>
              </w:rPr>
              <w:t>.05</w:t>
            </w:r>
            <w:r>
              <w:rPr>
                <w:rFonts w:hint="eastAsia" w:ascii="仿宋" w:hAnsi="仿宋" w:eastAsia="仿宋" w:cs="仿宋"/>
                <w:color w:val="000000"/>
                <w:kern w:val="0"/>
                <w:szCs w:val="21"/>
              </w:rPr>
              <w:t>%</w:t>
            </w:r>
          </w:p>
        </w:tc>
        <w:tc>
          <w:tcPr>
            <w:tcW w:w="1073"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val="en-US" w:eastAsia="zh-CN"/>
              </w:rPr>
              <w:t>9</w:t>
            </w:r>
          </w:p>
        </w:tc>
      </w:tr>
      <w:tr>
        <w:tblPrEx>
          <w:tblLayout w:type="fixed"/>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38" w:type="dxa"/>
            <w:gridSpan w:val="5"/>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按收入性质分：</w:t>
            </w:r>
            <w:r>
              <w:rPr>
                <w:rFonts w:hint="eastAsia" w:ascii="仿宋" w:hAnsi="仿宋" w:eastAsia="仿宋" w:cs="仿宋"/>
                <w:color w:val="000000"/>
                <w:kern w:val="0"/>
                <w:szCs w:val="21"/>
                <w:lang w:val="en-US" w:eastAsia="zh-CN"/>
              </w:rPr>
              <w:t>1432.49</w:t>
            </w:r>
          </w:p>
        </w:tc>
        <w:tc>
          <w:tcPr>
            <w:tcW w:w="4961" w:type="dxa"/>
            <w:gridSpan w:val="4"/>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按支出性质分：</w:t>
            </w:r>
            <w:r>
              <w:rPr>
                <w:rFonts w:hint="eastAsia" w:ascii="仿宋" w:hAnsi="仿宋" w:eastAsia="仿宋" w:cs="仿宋"/>
                <w:color w:val="000000"/>
                <w:kern w:val="0"/>
                <w:szCs w:val="21"/>
                <w:lang w:val="en-US" w:eastAsia="zh-CN"/>
              </w:rPr>
              <w:t>1433.2</w:t>
            </w:r>
          </w:p>
        </w:tc>
      </w:tr>
      <w:tr>
        <w:tblPrEx>
          <w:tblLayout w:type="fixed"/>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38" w:type="dxa"/>
            <w:gridSpan w:val="5"/>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其中：一般公共预算：</w:t>
            </w:r>
            <w:r>
              <w:rPr>
                <w:rFonts w:hint="eastAsia" w:ascii="仿宋" w:hAnsi="仿宋" w:eastAsia="仿宋" w:cs="仿宋"/>
                <w:color w:val="000000"/>
                <w:kern w:val="0"/>
                <w:szCs w:val="21"/>
                <w:lang w:val="en-US" w:eastAsia="zh-CN"/>
              </w:rPr>
              <w:t>1413.58</w:t>
            </w:r>
          </w:p>
        </w:tc>
        <w:tc>
          <w:tcPr>
            <w:tcW w:w="4961" w:type="dxa"/>
            <w:gridSpan w:val="4"/>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ascii="仿宋" w:hAnsi="仿宋" w:eastAsia="仿宋" w:cs="仿宋"/>
                <w:color w:val="000000"/>
                <w:kern w:val="0"/>
                <w:szCs w:val="21"/>
              </w:rPr>
            </w:pPr>
            <w:r>
              <w:rPr>
                <w:rFonts w:hint="eastAsia" w:ascii="仿宋" w:hAnsi="仿宋" w:eastAsia="仿宋" w:cs="仿宋"/>
                <w:color w:val="000000"/>
                <w:kern w:val="0"/>
                <w:szCs w:val="21"/>
              </w:rPr>
              <w:t>其中：基本支出：1329.6</w:t>
            </w:r>
          </w:p>
        </w:tc>
      </w:tr>
      <w:tr>
        <w:tblPrEx>
          <w:tblLayout w:type="fixed"/>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38"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政府性基金拨款：</w:t>
            </w:r>
            <w:r>
              <w:rPr>
                <w:rFonts w:hint="eastAsia" w:ascii="仿宋" w:hAnsi="仿宋" w:eastAsia="仿宋" w:cs="仿宋"/>
                <w:color w:val="000000"/>
                <w:kern w:val="0"/>
                <w:szCs w:val="21"/>
                <w:lang w:val="en-US" w:eastAsia="zh-CN"/>
              </w:rPr>
              <w:t>12.47</w:t>
            </w:r>
          </w:p>
        </w:tc>
        <w:tc>
          <w:tcPr>
            <w:tcW w:w="4961" w:type="dxa"/>
            <w:gridSpan w:val="4"/>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项目支出：103.6</w:t>
            </w:r>
          </w:p>
        </w:tc>
      </w:tr>
      <w:tr>
        <w:tblPrEx>
          <w:tblLayout w:type="fixed"/>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38"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纳入专户管理的非税收入拨款：0</w:t>
            </w:r>
          </w:p>
        </w:tc>
        <w:tc>
          <w:tcPr>
            <w:tcW w:w="4961"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38"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其他资金：</w:t>
            </w:r>
            <w:r>
              <w:rPr>
                <w:rFonts w:hint="eastAsia" w:ascii="仿宋" w:hAnsi="仿宋" w:eastAsia="仿宋" w:cs="仿宋"/>
                <w:color w:val="000000"/>
                <w:kern w:val="0"/>
                <w:szCs w:val="21"/>
                <w:lang w:val="en-US" w:eastAsia="zh-CN"/>
              </w:rPr>
              <w:t>6.44</w:t>
            </w:r>
          </w:p>
        </w:tc>
        <w:tc>
          <w:tcPr>
            <w:tcW w:w="4961"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年度总体目标</w:t>
            </w:r>
          </w:p>
        </w:tc>
        <w:tc>
          <w:tcPr>
            <w:tcW w:w="4738" w:type="dxa"/>
            <w:gridSpan w:val="5"/>
            <w:tcBorders>
              <w:top w:val="single" w:color="auto" w:sz="4" w:space="0"/>
              <w:left w:val="nil"/>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年初目标设定</w:t>
            </w:r>
          </w:p>
        </w:tc>
        <w:tc>
          <w:tcPr>
            <w:tcW w:w="4961" w:type="dxa"/>
            <w:gridSpan w:val="4"/>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全年实际完成情况</w:t>
            </w:r>
          </w:p>
        </w:tc>
      </w:tr>
      <w:tr>
        <w:tblPrEx>
          <w:tblLayout w:type="fixed"/>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38" w:type="dxa"/>
            <w:gridSpan w:val="5"/>
            <w:tcBorders>
              <w:top w:val="single" w:color="auto" w:sz="4" w:space="0"/>
              <w:left w:val="nil"/>
              <w:bottom w:val="single" w:color="auto" w:sz="4" w:space="0"/>
              <w:right w:val="single" w:color="000000"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2022年，在县委、县政府坚强领导和省、市应急主管部门精心指导下，局党委团结拼博、迎难而上，带领全局上下深入学习贯彻习近平总书记关于安全生产系列重要论述，全面贯彻落实中央、省、市关于安全生产的决策部署，坚持“人民至上、生命至上、安全第一”发展理念，严格落实国务院安委会15条硬措施，强化安全生产红线意识、底线思维，扎实做好安全生产、自然灾害防治、森林防灭火和应急救援等各项工作，全面推动我县安全生产形势持续稳定向好。</w:t>
            </w:r>
          </w:p>
        </w:tc>
        <w:tc>
          <w:tcPr>
            <w:tcW w:w="4961" w:type="dxa"/>
            <w:gridSpan w:val="4"/>
            <w:tcBorders>
              <w:top w:val="single" w:color="auto" w:sz="4" w:space="0"/>
              <w:left w:val="nil"/>
              <w:bottom w:val="single" w:color="auto" w:sz="4" w:space="0"/>
              <w:right w:val="single" w:color="auto" w:sz="4" w:space="0"/>
            </w:tcBorders>
            <w:vAlign w:val="center"/>
          </w:tcPr>
          <w:p>
            <w:pPr>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我局直管行业领域的危险化学品、烟花爆竹、非煤矿山和工贸行业领域实现“零事故”；防汛抗旱、森林火灾等取得了“零伤亡”的全胜好成绩，由省市督查组在全省作经验推广；全县安全形势平稳，未发生一起生产安全亡人事故，安全生产工作获省“全省安全生产先进县”，防灾减灾工作被省应急管理厅评为“真抓实干成效显著单位”，我局被邵阳市委、市人民政府评为“2022年度高效能治理突出贡献奖先进集体”，被邵阳市地震局评为“2022年度全市防震减灾工作先进单位”获全市防震减灾科普知识讲解赛“三等奖”。</w:t>
            </w:r>
          </w:p>
          <w:p>
            <w:pPr>
              <w:spacing w:line="240" w:lineRule="exact"/>
              <w:ind w:firstLine="420" w:firstLineChars="200"/>
              <w:rPr>
                <w:rFonts w:ascii="仿宋" w:hAnsi="仿宋" w:eastAsia="仿宋" w:cs="仿宋"/>
                <w:i/>
                <w:color w:val="000000"/>
                <w:kern w:val="0"/>
                <w:szCs w:val="21"/>
              </w:rPr>
            </w:pPr>
          </w:p>
        </w:tc>
      </w:tr>
      <w:tr>
        <w:tblPrEx>
          <w:tblLayout w:type="fixed"/>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仿宋" w:hAnsi="仿宋" w:eastAsia="仿宋" w:cs="仿宋"/>
                <w:b/>
                <w:bCs/>
                <w:color w:val="000000"/>
                <w:kern w:val="0"/>
                <w:szCs w:val="21"/>
              </w:rPr>
            </w:pPr>
            <w:r>
              <w:rPr>
                <w:rFonts w:hint="eastAsia" w:ascii="仿宋" w:hAnsi="仿宋" w:eastAsia="仿宋" w:cs="仿宋"/>
                <w:b/>
                <w:bCs/>
                <w:color w:val="000000"/>
                <w:kern w:val="0"/>
                <w:szCs w:val="21"/>
              </w:rPr>
              <w:t>绩效</w:t>
            </w:r>
          </w:p>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指标（90分）</w:t>
            </w: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15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年度</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608"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实际完成值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偏差原因</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分析及</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改进措施</w:t>
            </w:r>
          </w:p>
        </w:tc>
      </w:tr>
      <w:tr>
        <w:tblPrEx>
          <w:tblLayout w:type="fixed"/>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产出指标（50分）</w:t>
            </w: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数量   指标</w:t>
            </w:r>
          </w:p>
          <w:p>
            <w:pPr>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不发生</w:t>
            </w:r>
            <w:r>
              <w:rPr>
                <w:rFonts w:hint="eastAsia" w:ascii="仿宋" w:hAnsi="仿宋" w:eastAsia="仿宋" w:cs="仿宋"/>
                <w:color w:val="000000"/>
                <w:kern w:val="0"/>
                <w:szCs w:val="21"/>
              </w:rPr>
              <w:t>一起生产安全亡人事故</w:t>
            </w:r>
          </w:p>
        </w:tc>
        <w:tc>
          <w:tcPr>
            <w:tcW w:w="151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达标</w:t>
            </w:r>
          </w:p>
        </w:tc>
        <w:tc>
          <w:tcPr>
            <w:tcW w:w="1608"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无</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color w:val="000000"/>
                <w:kern w:val="0"/>
                <w:szCs w:val="21"/>
              </w:rPr>
              <w:t>规范项目实施和资产管理</w:t>
            </w:r>
          </w:p>
        </w:tc>
        <w:tc>
          <w:tcPr>
            <w:tcW w:w="151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达标</w:t>
            </w:r>
          </w:p>
        </w:tc>
        <w:tc>
          <w:tcPr>
            <w:tcW w:w="1608"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规范</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color w:val="000000"/>
                <w:kern w:val="0"/>
                <w:szCs w:val="21"/>
              </w:rPr>
              <w:t>争创全省真抓实干成效显著单位</w:t>
            </w:r>
          </w:p>
        </w:tc>
        <w:tc>
          <w:tcPr>
            <w:tcW w:w="151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达标</w:t>
            </w:r>
          </w:p>
        </w:tc>
        <w:tc>
          <w:tcPr>
            <w:tcW w:w="1608"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质量   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财政资金使用合规性</w:t>
            </w:r>
          </w:p>
        </w:tc>
        <w:tc>
          <w:tcPr>
            <w:tcW w:w="1514" w:type="dxa"/>
            <w:tcBorders>
              <w:top w:val="single" w:color="auto" w:sz="4" w:space="0"/>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 w:val="20"/>
                <w:szCs w:val="20"/>
              </w:rPr>
              <w:t>规范预算开支，符合国家财经法规和单位财务管理制度规定</w:t>
            </w:r>
          </w:p>
        </w:tc>
        <w:tc>
          <w:tcPr>
            <w:tcW w:w="1608"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基本完成</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工作有效性及安全性</w:t>
            </w:r>
          </w:p>
        </w:tc>
        <w:tc>
          <w:tcPr>
            <w:tcW w:w="151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不得出现重大事故及投诉</w:t>
            </w:r>
          </w:p>
        </w:tc>
        <w:tc>
          <w:tcPr>
            <w:tcW w:w="1608"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零故障零投诉</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管理制度及安全性</w:t>
            </w:r>
          </w:p>
        </w:tc>
        <w:tc>
          <w:tcPr>
            <w:tcW w:w="151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管理制度得到有效执行</w:t>
            </w:r>
          </w:p>
        </w:tc>
        <w:tc>
          <w:tcPr>
            <w:tcW w:w="1608"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基本完成</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验收合格率</w:t>
            </w:r>
          </w:p>
        </w:tc>
        <w:tc>
          <w:tcPr>
            <w:tcW w:w="151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各项目实施及设备验收合格</w:t>
            </w:r>
          </w:p>
        </w:tc>
        <w:tc>
          <w:tcPr>
            <w:tcW w:w="1608"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合格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tcBorders>
              <w:top w:val="single" w:color="000000" w:sz="4" w:space="0"/>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工作效率</w:t>
            </w:r>
          </w:p>
        </w:tc>
        <w:tc>
          <w:tcPr>
            <w:tcW w:w="1514"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完成全年任务考核</w:t>
            </w:r>
          </w:p>
        </w:tc>
        <w:tc>
          <w:tcPr>
            <w:tcW w:w="1608"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完成</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降低行政成本</w:t>
            </w:r>
          </w:p>
        </w:tc>
        <w:tc>
          <w:tcPr>
            <w:tcW w:w="1514"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不超全年预算</w:t>
            </w:r>
          </w:p>
        </w:tc>
        <w:tc>
          <w:tcPr>
            <w:tcW w:w="1608"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未超全年预算</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03" w:type="dxa"/>
            <w:gridSpan w:val="2"/>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加强经费和资产管理</w:t>
            </w:r>
          </w:p>
        </w:tc>
        <w:tc>
          <w:tcPr>
            <w:tcW w:w="1514" w:type="dxa"/>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措施得力</w:t>
            </w:r>
          </w:p>
        </w:tc>
        <w:tc>
          <w:tcPr>
            <w:tcW w:w="1608"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sz w:val="20"/>
                <w:szCs w:val="20"/>
              </w:rPr>
            </w:pPr>
            <w:r>
              <w:rPr>
                <w:rFonts w:hint="eastAsia" w:ascii="仿宋" w:hAnsi="仿宋" w:eastAsia="仿宋" w:cs="仿宋"/>
                <w:sz w:val="20"/>
                <w:szCs w:val="20"/>
              </w:rPr>
              <w:t>效果良好</w:t>
            </w:r>
          </w:p>
        </w:tc>
        <w:tc>
          <w:tcPr>
            <w:tcW w:w="825"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效益指标（30分）</w:t>
            </w: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经济效益指标</w:t>
            </w:r>
          </w:p>
        </w:tc>
        <w:tc>
          <w:tcPr>
            <w:tcW w:w="1603" w:type="dxa"/>
            <w:gridSpan w:val="2"/>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保持投入额度增长</w:t>
            </w:r>
          </w:p>
        </w:tc>
        <w:tc>
          <w:tcPr>
            <w:tcW w:w="1514" w:type="dxa"/>
            <w:tcBorders>
              <w:top w:val="single" w:color="000000" w:sz="4" w:space="0"/>
              <w:left w:val="nil"/>
              <w:bottom w:val="single" w:color="000000"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稳步上升</w:t>
            </w:r>
          </w:p>
        </w:tc>
        <w:tc>
          <w:tcPr>
            <w:tcW w:w="1608" w:type="dxa"/>
            <w:tcBorders>
              <w:top w:val="single" w:color="000000" w:sz="4" w:space="0"/>
              <w:left w:val="nil"/>
              <w:bottom w:val="single" w:color="000000"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持续增长</w:t>
            </w:r>
          </w:p>
        </w:tc>
        <w:tc>
          <w:tcPr>
            <w:tcW w:w="825" w:type="dxa"/>
            <w:tcBorders>
              <w:top w:val="single" w:color="000000" w:sz="4" w:space="0"/>
              <w:left w:val="nil"/>
              <w:bottom w:val="single" w:color="000000"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000000" w:sz="4" w:space="0"/>
              <w:left w:val="nil"/>
              <w:bottom w:val="single" w:color="000000"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项目使用性</w:t>
            </w:r>
          </w:p>
        </w:tc>
        <w:tc>
          <w:tcPr>
            <w:tcW w:w="1514"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较强</w:t>
            </w:r>
          </w:p>
        </w:tc>
        <w:tc>
          <w:tcPr>
            <w:tcW w:w="1608"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较强</w:t>
            </w:r>
          </w:p>
        </w:tc>
        <w:tc>
          <w:tcPr>
            <w:tcW w:w="82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基层负担</w:t>
            </w:r>
          </w:p>
        </w:tc>
        <w:tc>
          <w:tcPr>
            <w:tcW w:w="1514"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减轻</w:t>
            </w:r>
          </w:p>
        </w:tc>
        <w:tc>
          <w:tcPr>
            <w:tcW w:w="1608"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减轻</w:t>
            </w:r>
          </w:p>
        </w:tc>
        <w:tc>
          <w:tcPr>
            <w:tcW w:w="82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工作机制</w:t>
            </w:r>
          </w:p>
        </w:tc>
        <w:tc>
          <w:tcPr>
            <w:tcW w:w="1514"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创新</w:t>
            </w:r>
          </w:p>
        </w:tc>
        <w:tc>
          <w:tcPr>
            <w:tcW w:w="1608"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持续创新</w:t>
            </w:r>
          </w:p>
        </w:tc>
        <w:tc>
          <w:tcPr>
            <w:tcW w:w="82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安全生产专业人才培训</w:t>
            </w:r>
          </w:p>
        </w:tc>
        <w:tc>
          <w:tcPr>
            <w:tcW w:w="1514"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推广</w:t>
            </w:r>
          </w:p>
        </w:tc>
        <w:tc>
          <w:tcPr>
            <w:tcW w:w="1608"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推广</w:t>
            </w:r>
          </w:p>
        </w:tc>
        <w:tc>
          <w:tcPr>
            <w:tcW w:w="82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宣传力度和知晓度</w:t>
            </w:r>
          </w:p>
        </w:tc>
        <w:tc>
          <w:tcPr>
            <w:tcW w:w="1514"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力度大</w:t>
            </w:r>
          </w:p>
        </w:tc>
        <w:tc>
          <w:tcPr>
            <w:tcW w:w="1608"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力度大效果好</w:t>
            </w:r>
          </w:p>
        </w:tc>
        <w:tc>
          <w:tcPr>
            <w:tcW w:w="82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防汛系统平台维护</w:t>
            </w:r>
          </w:p>
        </w:tc>
        <w:tc>
          <w:tcPr>
            <w:tcW w:w="1514"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维护</w:t>
            </w:r>
          </w:p>
        </w:tc>
        <w:tc>
          <w:tcPr>
            <w:tcW w:w="1608"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维护</w:t>
            </w:r>
          </w:p>
        </w:tc>
        <w:tc>
          <w:tcPr>
            <w:tcW w:w="82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安全生产一系列举措</w:t>
            </w:r>
          </w:p>
        </w:tc>
        <w:tc>
          <w:tcPr>
            <w:tcW w:w="1514"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有效</w:t>
            </w:r>
          </w:p>
        </w:tc>
        <w:tc>
          <w:tcPr>
            <w:tcW w:w="1608"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有效</w:t>
            </w:r>
          </w:p>
        </w:tc>
        <w:tc>
          <w:tcPr>
            <w:tcW w:w="82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满意度指标（10分）</w:t>
            </w:r>
          </w:p>
        </w:tc>
        <w:tc>
          <w:tcPr>
            <w:tcW w:w="770" w:type="dxa"/>
            <w:vMerge w:val="restart"/>
            <w:tcBorders>
              <w:top w:val="single" w:color="000000" w:sz="6"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建议提案办理满意度</w:t>
            </w:r>
          </w:p>
        </w:tc>
        <w:tc>
          <w:tcPr>
            <w:tcW w:w="151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90%</w:t>
            </w:r>
          </w:p>
        </w:tc>
        <w:tc>
          <w:tcPr>
            <w:tcW w:w="160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82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668" w:hRule="atLeast"/>
          <w:jc w:val="center"/>
        </w:trPr>
        <w:tc>
          <w:tcPr>
            <w:tcW w:w="716" w:type="dxa"/>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社会群众满意度</w:t>
            </w:r>
          </w:p>
        </w:tc>
        <w:tc>
          <w:tcPr>
            <w:tcW w:w="151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90%以上</w:t>
            </w:r>
          </w:p>
        </w:tc>
        <w:tc>
          <w:tcPr>
            <w:tcW w:w="160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95%</w:t>
            </w:r>
          </w:p>
        </w:tc>
        <w:tc>
          <w:tcPr>
            <w:tcW w:w="82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总分</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9</w:t>
            </w:r>
            <w:r>
              <w:rPr>
                <w:rFonts w:hint="eastAsia" w:ascii="仿宋" w:hAnsi="仿宋" w:eastAsia="仿宋" w:cs="仿宋"/>
                <w:color w:val="000000"/>
                <w:kern w:val="0"/>
                <w:szCs w:val="21"/>
                <w:lang w:val="en-US" w:eastAsia="zh-CN"/>
              </w:rPr>
              <w:t>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bl>
    <w:p>
      <w:pPr>
        <w:pStyle w:val="8"/>
        <w:widowControl/>
        <w:shd w:val="clear" w:color="auto" w:fill="FFFFFF"/>
        <w:spacing w:beforeAutospacing="0" w:afterAutospacing="0" w:line="480" w:lineRule="atLeast"/>
        <w:jc w:val="both"/>
        <w:rPr>
          <w:rFonts w:ascii="仿宋_GB2312" w:eastAsia="仿宋_GB2312" w:cs="仿宋_GB2312"/>
          <w:color w:val="000000"/>
          <w:shd w:val="clear" w:color="auto" w:fill="FFFFFF"/>
        </w:rPr>
      </w:pPr>
    </w:p>
    <w:p>
      <w:pPr>
        <w:pStyle w:val="8"/>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说明：1.分值设定100分，其中预算执行率10分、产出指标50分、效益指标30分、满意度指标10分。除预算执行率外的指标应根据权重自行合理设定分值。</w:t>
      </w:r>
    </w:p>
    <w:p>
      <w:pPr>
        <w:pStyle w:val="8"/>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2.综合评价等级分为优秀（</w:t>
      </w:r>
      <w:r>
        <w:rPr>
          <w:rFonts w:hint="eastAsia" w:ascii="仿宋_GB2312" w:eastAsia="仿宋_GB2312" w:cs="仿宋_GB2312"/>
          <w:color w:val="000000"/>
          <w:shd w:val="clear" w:color="auto" w:fill="FFFFFF"/>
        </w:rPr>
        <w:t>大于</w:t>
      </w:r>
      <w:r>
        <w:rPr>
          <w:rFonts w:ascii="仿宋_GB2312" w:eastAsia="仿宋_GB2312" w:cs="仿宋_GB2312"/>
          <w:color w:val="000000"/>
          <w:shd w:val="clear" w:color="auto" w:fill="FFFFFF"/>
        </w:rPr>
        <w:t>90</w:t>
      </w:r>
      <w:r>
        <w:rPr>
          <w:rFonts w:hint="eastAsia" w:ascii="仿宋_GB2312" w:eastAsia="仿宋_GB2312" w:cs="仿宋_GB2312"/>
          <w:color w:val="000000"/>
          <w:shd w:val="clear" w:color="auto" w:fill="FFFFFF"/>
        </w:rPr>
        <w:t>分</w:t>
      </w:r>
      <w:r>
        <w:rPr>
          <w:rFonts w:ascii="仿宋_GB2312" w:eastAsia="仿宋_GB2312" w:cs="仿宋_GB2312"/>
          <w:color w:val="000000"/>
          <w:shd w:val="clear" w:color="auto" w:fill="FFFFFF"/>
        </w:rPr>
        <w:t>）、良好（</w:t>
      </w:r>
      <w:r>
        <w:rPr>
          <w:rFonts w:hint="eastAsia" w:ascii="仿宋_GB2312" w:eastAsia="仿宋_GB2312" w:cs="仿宋_GB2312"/>
          <w:color w:val="000000"/>
          <w:shd w:val="clear" w:color="auto" w:fill="FFFFFF"/>
        </w:rPr>
        <w:t>80-90分</w:t>
      </w:r>
      <w:r>
        <w:rPr>
          <w:rFonts w:ascii="仿宋_GB2312" w:eastAsia="仿宋_GB2312" w:cs="仿宋_GB2312"/>
          <w:color w:val="000000"/>
          <w:shd w:val="clear" w:color="auto" w:fill="FFFFFF"/>
        </w:rPr>
        <w:t>）、较差（</w:t>
      </w:r>
      <w:r>
        <w:rPr>
          <w:rFonts w:hint="eastAsia" w:ascii="仿宋_GB2312" w:eastAsia="仿宋_GB2312" w:cs="仿宋_GB2312"/>
          <w:color w:val="000000"/>
          <w:shd w:val="clear" w:color="auto" w:fill="FFFFFF"/>
        </w:rPr>
        <w:t>60-80分</w:t>
      </w:r>
      <w:r>
        <w:rPr>
          <w:rFonts w:ascii="仿宋_GB2312" w:eastAsia="仿宋_GB2312" w:cs="仿宋_GB2312"/>
          <w:color w:val="000000"/>
          <w:shd w:val="clear" w:color="auto" w:fill="FFFFFF"/>
        </w:rPr>
        <w:t>）、 差（</w:t>
      </w:r>
      <w:r>
        <w:rPr>
          <w:rFonts w:hint="eastAsia" w:ascii="仿宋_GB2312" w:eastAsia="仿宋_GB2312" w:cs="仿宋_GB2312"/>
          <w:color w:val="000000"/>
          <w:shd w:val="clear" w:color="auto" w:fill="FFFFFF"/>
        </w:rPr>
        <w:t>小于60分</w:t>
      </w:r>
      <w:r>
        <w:rPr>
          <w:rFonts w:ascii="仿宋_GB2312" w:eastAsia="仿宋_GB2312" w:cs="仿宋_GB2312"/>
          <w:color w:val="000000"/>
          <w:shd w:val="clear" w:color="auto" w:fill="FFFFFF"/>
        </w:rPr>
        <w:t>）</w:t>
      </w:r>
      <w:r>
        <w:rPr>
          <w:rFonts w:ascii="Calibri" w:hAnsi="Calibri" w:eastAsia="仿宋_GB2312" w:cs="Calibri"/>
          <w:color w:val="000000"/>
          <w:shd w:val="clear" w:color="auto" w:fill="FFFFFF"/>
        </w:rPr>
        <w:t>。</w:t>
      </w:r>
    </w:p>
    <w:p>
      <w:pPr>
        <w:pStyle w:val="8"/>
        <w:widowControl/>
        <w:shd w:val="clear" w:color="auto" w:fill="FFFFFF"/>
        <w:spacing w:beforeAutospacing="0" w:afterAutospacing="0" w:line="480" w:lineRule="atLeast"/>
        <w:jc w:val="both"/>
        <w:rPr>
          <w:rFonts w:ascii="仿宋" w:hAnsi="仿宋" w:eastAsia="仿宋"/>
          <w:sz w:val="32"/>
          <w:szCs w:val="32"/>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3.三级绩效指标按需自行增减行。个别不涉及的二级指标可删除不要。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04903"/>
    <w:multiLevelType w:val="singleLevel"/>
    <w:tmpl w:val="E7204903"/>
    <w:lvl w:ilvl="0" w:tentative="0">
      <w:start w:val="1"/>
      <w:numFmt w:val="chineseCounting"/>
      <w:suff w:val="nothing"/>
      <w:lvlText w:val="%1、"/>
      <w:lvlJc w:val="left"/>
      <w:rPr>
        <w:rFonts w:hint="eastAsia"/>
      </w:rPr>
    </w:lvl>
  </w:abstractNum>
  <w:abstractNum w:abstractNumId="1">
    <w:nsid w:val="6DD6DCE7"/>
    <w:multiLevelType w:val="singleLevel"/>
    <w:tmpl w:val="6DD6DCE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IwMGY0YTIyMjc2MTY1Y2Y5YzlmZjllYjhkN2ZmYjMifQ=="/>
  </w:docVars>
  <w:rsids>
    <w:rsidRoot w:val="00C36BF4"/>
    <w:rsid w:val="0009690B"/>
    <w:rsid w:val="001E69CE"/>
    <w:rsid w:val="004349B9"/>
    <w:rsid w:val="005158B7"/>
    <w:rsid w:val="005207B8"/>
    <w:rsid w:val="00614841"/>
    <w:rsid w:val="0064542B"/>
    <w:rsid w:val="007008E3"/>
    <w:rsid w:val="0072173A"/>
    <w:rsid w:val="00755BE5"/>
    <w:rsid w:val="008B2AFD"/>
    <w:rsid w:val="009948B3"/>
    <w:rsid w:val="009A2EBC"/>
    <w:rsid w:val="00A228FD"/>
    <w:rsid w:val="00A57645"/>
    <w:rsid w:val="00A71CD5"/>
    <w:rsid w:val="00AC5520"/>
    <w:rsid w:val="00BF1F7E"/>
    <w:rsid w:val="00C36BF4"/>
    <w:rsid w:val="00C7187A"/>
    <w:rsid w:val="00D13C27"/>
    <w:rsid w:val="00D253BA"/>
    <w:rsid w:val="00D327AE"/>
    <w:rsid w:val="00DA0E41"/>
    <w:rsid w:val="00DD6FA5"/>
    <w:rsid w:val="00E31855"/>
    <w:rsid w:val="00E56710"/>
    <w:rsid w:val="00ED5E98"/>
    <w:rsid w:val="00F62DEE"/>
    <w:rsid w:val="02844CE4"/>
    <w:rsid w:val="045A77D7"/>
    <w:rsid w:val="05505BF3"/>
    <w:rsid w:val="06B74350"/>
    <w:rsid w:val="07740BAF"/>
    <w:rsid w:val="08C1683F"/>
    <w:rsid w:val="08CE1392"/>
    <w:rsid w:val="0B0577DC"/>
    <w:rsid w:val="0E544E57"/>
    <w:rsid w:val="0EF97BEC"/>
    <w:rsid w:val="10EF574B"/>
    <w:rsid w:val="12312BCE"/>
    <w:rsid w:val="12AA1814"/>
    <w:rsid w:val="14A44C48"/>
    <w:rsid w:val="14CF38C9"/>
    <w:rsid w:val="16DC3E4F"/>
    <w:rsid w:val="16EE1BB5"/>
    <w:rsid w:val="17141CFC"/>
    <w:rsid w:val="1798116C"/>
    <w:rsid w:val="17EB6307"/>
    <w:rsid w:val="1800023D"/>
    <w:rsid w:val="1A5A1E87"/>
    <w:rsid w:val="1D3F35B6"/>
    <w:rsid w:val="1E2F53D8"/>
    <w:rsid w:val="1FE62595"/>
    <w:rsid w:val="235867FE"/>
    <w:rsid w:val="23B02B18"/>
    <w:rsid w:val="23C969CE"/>
    <w:rsid w:val="2412248E"/>
    <w:rsid w:val="24E862E1"/>
    <w:rsid w:val="268070C2"/>
    <w:rsid w:val="26FA0186"/>
    <w:rsid w:val="281025A5"/>
    <w:rsid w:val="285E30F8"/>
    <w:rsid w:val="2A7A75B2"/>
    <w:rsid w:val="2D1660E1"/>
    <w:rsid w:val="2DD445FD"/>
    <w:rsid w:val="2F0B154A"/>
    <w:rsid w:val="2F6F4A46"/>
    <w:rsid w:val="2FDC432A"/>
    <w:rsid w:val="3041038A"/>
    <w:rsid w:val="31D8579D"/>
    <w:rsid w:val="32005CCA"/>
    <w:rsid w:val="35797853"/>
    <w:rsid w:val="3580176D"/>
    <w:rsid w:val="36412A3C"/>
    <w:rsid w:val="381C0324"/>
    <w:rsid w:val="389D7539"/>
    <w:rsid w:val="39B0341A"/>
    <w:rsid w:val="3C0B47FD"/>
    <w:rsid w:val="3CE27966"/>
    <w:rsid w:val="3E1451A0"/>
    <w:rsid w:val="3F2A12B9"/>
    <w:rsid w:val="3F934694"/>
    <w:rsid w:val="3FF257A0"/>
    <w:rsid w:val="41941625"/>
    <w:rsid w:val="4194717D"/>
    <w:rsid w:val="41A03D74"/>
    <w:rsid w:val="423D5A66"/>
    <w:rsid w:val="431D1053"/>
    <w:rsid w:val="43903FBA"/>
    <w:rsid w:val="439D5045"/>
    <w:rsid w:val="43B4696F"/>
    <w:rsid w:val="44BB380A"/>
    <w:rsid w:val="458F482B"/>
    <w:rsid w:val="47923C78"/>
    <w:rsid w:val="48410841"/>
    <w:rsid w:val="484433A2"/>
    <w:rsid w:val="4AEC7B3E"/>
    <w:rsid w:val="4B182BCD"/>
    <w:rsid w:val="4BBB3BBF"/>
    <w:rsid w:val="50CD5581"/>
    <w:rsid w:val="50E13F2A"/>
    <w:rsid w:val="518912A0"/>
    <w:rsid w:val="51EA20C4"/>
    <w:rsid w:val="53D55AFF"/>
    <w:rsid w:val="53E2646E"/>
    <w:rsid w:val="5452471E"/>
    <w:rsid w:val="55551FA8"/>
    <w:rsid w:val="571E76EE"/>
    <w:rsid w:val="577E01D5"/>
    <w:rsid w:val="57DE0CFA"/>
    <w:rsid w:val="587D0513"/>
    <w:rsid w:val="5948157E"/>
    <w:rsid w:val="5A2A7623"/>
    <w:rsid w:val="5ACB37B8"/>
    <w:rsid w:val="5C186976"/>
    <w:rsid w:val="5CF74D74"/>
    <w:rsid w:val="5DB4040F"/>
    <w:rsid w:val="62332162"/>
    <w:rsid w:val="62BD432E"/>
    <w:rsid w:val="62BD7466"/>
    <w:rsid w:val="632A3916"/>
    <w:rsid w:val="63473BF7"/>
    <w:rsid w:val="635655AC"/>
    <w:rsid w:val="662D1424"/>
    <w:rsid w:val="66833198"/>
    <w:rsid w:val="690C1B6B"/>
    <w:rsid w:val="6ABB2000"/>
    <w:rsid w:val="6D305867"/>
    <w:rsid w:val="6D62736B"/>
    <w:rsid w:val="6D9565B3"/>
    <w:rsid w:val="6DA560EA"/>
    <w:rsid w:val="6DAC6487"/>
    <w:rsid w:val="6E745DD6"/>
    <w:rsid w:val="721042A2"/>
    <w:rsid w:val="725400DF"/>
    <w:rsid w:val="750B2D4E"/>
    <w:rsid w:val="752F399F"/>
    <w:rsid w:val="76203748"/>
    <w:rsid w:val="77C704C0"/>
    <w:rsid w:val="78850FF2"/>
    <w:rsid w:val="791B3704"/>
    <w:rsid w:val="79471CBC"/>
    <w:rsid w:val="7A2125C0"/>
    <w:rsid w:val="7BAE2EFA"/>
    <w:rsid w:val="7C80044E"/>
    <w:rsid w:val="7DFF1847"/>
    <w:rsid w:val="7E462FD2"/>
    <w:rsid w:val="7E7933A7"/>
    <w:rsid w:val="7F14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qFormat/>
    <w:uiPriority w:val="0"/>
    <w:rPr>
      <w:rFonts w:eastAsia="宋体"/>
    </w:rPr>
  </w:style>
  <w:style w:type="paragraph" w:styleId="3">
    <w:name w:val="index 5"/>
    <w:basedOn w:val="1"/>
    <w:next w:val="1"/>
    <w:qFormat/>
    <w:uiPriority w:val="0"/>
    <w:pPr>
      <w:ind w:left="1680"/>
    </w:pPr>
  </w:style>
  <w:style w:type="paragraph" w:styleId="4">
    <w:name w:val="Body Text Indent"/>
    <w:basedOn w:val="1"/>
    <w:qFormat/>
    <w:uiPriority w:val="0"/>
    <w:pPr>
      <w:ind w:left="420" w:leftChars="200"/>
    </w:pPr>
  </w:style>
  <w:style w:type="paragraph" w:styleId="5">
    <w:name w:val="footer"/>
    <w:basedOn w:val="1"/>
    <w:next w:val="3"/>
    <w:unhideWhenUsed/>
    <w:qFormat/>
    <w:uiPriority w:val="99"/>
    <w:pPr>
      <w:tabs>
        <w:tab w:val="center" w:pos="4153"/>
        <w:tab w:val="right" w:pos="8306"/>
      </w:tabs>
      <w:snapToGrid w:val="0"/>
      <w:jc w:val="left"/>
    </w:pPr>
    <w:rPr>
      <w:sz w:val="18"/>
      <w:szCs w:val="18"/>
    </w:rPr>
  </w:style>
  <w:style w:type="paragraph" w:styleId="6">
    <w:name w:val="Body Text First Indent 2"/>
    <w:basedOn w:val="4"/>
    <w:next w:val="1"/>
    <w:qFormat/>
    <w:uiPriority w:val="0"/>
    <w:pPr>
      <w:ind w:firstLine="420" w:firstLineChars="200"/>
    </w:p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11">
    <w:name w:val="List Paragraph"/>
    <w:basedOn w:val="1"/>
    <w:qFormat/>
    <w:uiPriority w:val="99"/>
    <w:pPr>
      <w:ind w:firstLine="420" w:firstLineChars="200"/>
    </w:pPr>
    <w:rPr>
      <w:rFonts w:ascii="Calibri" w:hAnsi="Calibri"/>
    </w:rPr>
  </w:style>
  <w:style w:type="table" w:customStyle="1" w:styleId="12">
    <w:name w:val="Table Normal"/>
    <w:unhideWhenUsed/>
    <w:qFormat/>
    <w:uiPriority w:val="0"/>
    <w:tblPr>
      <w:tblLayout w:type="fixed"/>
      <w:tblCellMar>
        <w:top w:w="0" w:type="dxa"/>
        <w:left w:w="0" w:type="dxa"/>
        <w:bottom w:w="0" w:type="dxa"/>
        <w:right w:w="0" w:type="dxa"/>
      </w:tblCellMar>
    </w:tblPr>
  </w:style>
  <w:style w:type="character" w:customStyle="1" w:styleId="13">
    <w:name w:val="页眉 Char"/>
    <w:basedOn w:val="9"/>
    <w:link w:val="7"/>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1604</Words>
  <Characters>9144</Characters>
  <Lines>76</Lines>
  <Paragraphs>21</Paragraphs>
  <TotalTime>1</TotalTime>
  <ScaleCrop>false</ScaleCrop>
  <LinksUpToDate>false</LinksUpToDate>
  <CharactersWithSpaces>10727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2023-04-28T08:44:00Z</cp:lastPrinted>
  <dcterms:modified xsi:type="dcterms:W3CDTF">2023-09-04T08:14:41Z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822DAA91889D4127A6FF34DB11913D65</vt:lpwstr>
  </property>
</Properties>
</file>