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_GB2312"/>
          <w:bCs/>
          <w:kern w:val="0"/>
          <w:sz w:val="32"/>
          <w:szCs w:val="32"/>
        </w:rPr>
      </w:pPr>
      <w:r>
        <w:rPr>
          <w:rFonts w:hint="eastAsia" w:ascii="方正小标宋_GBK" w:eastAsia="方正小标宋_GBK"/>
          <w:bCs/>
          <w:kern w:val="0"/>
          <w:sz w:val="36"/>
          <w:szCs w:val="36"/>
        </w:rPr>
        <w:t>乡镇部门整体支出绩效目标申报表</w:t>
      </w:r>
      <w:r>
        <w:rPr>
          <w:rFonts w:hint="eastAsia" w:ascii="方正小标宋_GBK" w:eastAsia="方正小标宋_GBK"/>
          <w:bCs/>
          <w:kern w:val="0"/>
          <w:sz w:val="36"/>
          <w:szCs w:val="36"/>
        </w:rPr>
        <w:br w:type="textWrapping"/>
      </w:r>
      <w:r>
        <w:rPr>
          <w:rFonts w:eastAsia="楷体_GB2312"/>
          <w:bCs/>
          <w:kern w:val="0"/>
          <w:sz w:val="32"/>
          <w:szCs w:val="32"/>
        </w:rPr>
        <w:t xml:space="preserve">（ </w:t>
      </w:r>
      <w:r>
        <w:rPr>
          <w:rFonts w:hint="eastAsia" w:eastAsia="楷体_GB2312"/>
          <w:bCs/>
          <w:kern w:val="0"/>
          <w:sz w:val="32"/>
          <w:szCs w:val="32"/>
        </w:rPr>
        <w:t>2019</w:t>
      </w:r>
      <w:r>
        <w:rPr>
          <w:rFonts w:eastAsia="楷体_GB2312"/>
          <w:bCs/>
          <w:kern w:val="0"/>
          <w:sz w:val="32"/>
          <w:szCs w:val="32"/>
        </w:rPr>
        <w:t>年度）</w:t>
      </w:r>
    </w:p>
    <w:p>
      <w:pPr>
        <w:widowControl/>
        <w:tabs>
          <w:tab w:val="left" w:pos="2593"/>
        </w:tabs>
        <w:ind w:left="93"/>
        <w:jc w:val="left"/>
        <w:rPr>
          <w:rFonts w:eastAsia="黑体"/>
          <w:kern w:val="0"/>
          <w:szCs w:val="21"/>
        </w:rPr>
      </w:pPr>
      <w:r>
        <w:rPr>
          <w:rFonts w:ascii="宋体" w:hAnsi="宋体"/>
          <w:kern w:val="0"/>
          <w:szCs w:val="21"/>
        </w:rPr>
        <w:t>填报单位（盖章）</w:t>
      </w:r>
      <w:r>
        <w:rPr>
          <w:rFonts w:hint="eastAsia" w:eastAsia="黑体"/>
          <w:kern w:val="0"/>
          <w:szCs w:val="21"/>
        </w:rPr>
        <w:t xml:space="preserve">： </w:t>
      </w:r>
      <w:r>
        <w:rPr>
          <w:rFonts w:hint="eastAsia" w:eastAsia="黑体"/>
          <w:kern w:val="0"/>
          <w:szCs w:val="21"/>
          <w:lang w:eastAsia="zh-CN"/>
        </w:rPr>
        <w:t>乐安铺苗族侗族乡人民政府</w:t>
      </w:r>
      <w:r>
        <w:rPr>
          <w:rFonts w:eastAsia="黑体"/>
          <w:kern w:val="0"/>
          <w:szCs w:val="21"/>
        </w:rPr>
        <w:tab/>
      </w:r>
    </w:p>
    <w:tbl>
      <w:tblPr>
        <w:tblStyle w:val="4"/>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35"/>
        <w:gridCol w:w="1725"/>
        <w:gridCol w:w="1395"/>
        <w:gridCol w:w="1886"/>
        <w:gridCol w:w="16"/>
        <w:gridCol w:w="102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83" w:type="dxa"/>
            <w:vAlign w:val="center"/>
          </w:tcPr>
          <w:p>
            <w:pPr>
              <w:widowControl/>
              <w:jc w:val="center"/>
              <w:rPr>
                <w:rFonts w:ascii="宋体" w:hAnsi="宋体"/>
                <w:kern w:val="0"/>
                <w:szCs w:val="21"/>
              </w:rPr>
            </w:pPr>
            <w:r>
              <w:rPr>
                <w:rFonts w:ascii="宋体" w:hAnsi="宋体"/>
                <w:kern w:val="0"/>
                <w:szCs w:val="21"/>
              </w:rPr>
              <w:t>部门名称</w:t>
            </w:r>
          </w:p>
        </w:tc>
        <w:tc>
          <w:tcPr>
            <w:tcW w:w="8357" w:type="dxa"/>
            <w:gridSpan w:val="7"/>
            <w:vAlign w:val="center"/>
          </w:tcPr>
          <w:p>
            <w:pPr>
              <w:widowControl/>
              <w:jc w:val="center"/>
              <w:rPr>
                <w:rFonts w:eastAsia="黑体"/>
                <w:kern w:val="0"/>
                <w:szCs w:val="21"/>
              </w:rPr>
            </w:pPr>
            <w:r>
              <w:rPr>
                <w:rFonts w:hint="eastAsia" w:eastAsia="黑体"/>
                <w:kern w:val="0"/>
                <w:szCs w:val="21"/>
              </w:rPr>
              <w:t>乐安铺苗族侗族乡人民政府</w:t>
            </w:r>
            <w:r>
              <w:rPr>
                <w:rFonts w:eastAsia="黑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83" w:type="dxa"/>
            <w:vMerge w:val="restart"/>
            <w:vAlign w:val="center"/>
          </w:tcPr>
          <w:p>
            <w:pPr>
              <w:widowControl/>
              <w:jc w:val="center"/>
              <w:rPr>
                <w:rFonts w:ascii="宋体" w:hAnsi="宋体"/>
                <w:kern w:val="0"/>
                <w:szCs w:val="21"/>
              </w:rPr>
            </w:pPr>
            <w:r>
              <w:rPr>
                <w:rFonts w:ascii="宋体" w:hAnsi="宋体"/>
                <w:kern w:val="0"/>
                <w:szCs w:val="21"/>
              </w:rPr>
              <w:t>年度预算申请</w:t>
            </w:r>
            <w:r>
              <w:rPr>
                <w:rFonts w:ascii="宋体" w:hAnsi="宋体"/>
                <w:kern w:val="0"/>
                <w:szCs w:val="21"/>
              </w:rPr>
              <w:br w:type="textWrapping"/>
            </w:r>
            <w:r>
              <w:rPr>
                <w:rFonts w:ascii="宋体" w:hAnsi="宋体"/>
                <w:kern w:val="0"/>
                <w:szCs w:val="21"/>
              </w:rPr>
              <w:t>（万元）</w:t>
            </w:r>
          </w:p>
        </w:tc>
        <w:tc>
          <w:tcPr>
            <w:tcW w:w="8357" w:type="dxa"/>
            <w:gridSpan w:val="7"/>
            <w:vAlign w:val="center"/>
          </w:tcPr>
          <w:p>
            <w:pPr>
              <w:widowControl/>
              <w:jc w:val="left"/>
              <w:rPr>
                <w:rFonts w:ascii="宋体" w:hAnsi="宋体"/>
                <w:kern w:val="0"/>
                <w:szCs w:val="21"/>
              </w:rPr>
            </w:pPr>
            <w:r>
              <w:rPr>
                <w:rFonts w:ascii="宋体" w:hAnsi="宋体"/>
                <w:kern w:val="0"/>
                <w:szCs w:val="21"/>
              </w:rPr>
              <w:t>资金总额：</w:t>
            </w:r>
            <w:r>
              <w:rPr>
                <w:rFonts w:hint="eastAsia"/>
                <w:kern w:val="0"/>
                <w:szCs w:val="21"/>
              </w:rPr>
              <w:t>536.64万元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283" w:type="dxa"/>
            <w:vMerge w:val="continue"/>
            <w:vAlign w:val="center"/>
          </w:tcPr>
          <w:p>
            <w:pPr>
              <w:widowControl/>
              <w:jc w:val="left"/>
              <w:rPr>
                <w:rFonts w:eastAsia="黑体"/>
                <w:kern w:val="0"/>
                <w:szCs w:val="21"/>
              </w:rPr>
            </w:pPr>
          </w:p>
        </w:tc>
        <w:tc>
          <w:tcPr>
            <w:tcW w:w="5157" w:type="dxa"/>
            <w:gridSpan w:val="5"/>
            <w:vAlign w:val="center"/>
          </w:tcPr>
          <w:p>
            <w:pPr>
              <w:widowControl/>
              <w:jc w:val="left"/>
              <w:rPr>
                <w:rFonts w:ascii="宋体" w:hAnsi="宋体"/>
                <w:kern w:val="0"/>
                <w:szCs w:val="21"/>
              </w:rPr>
            </w:pPr>
            <w:r>
              <w:rPr>
                <w:rFonts w:ascii="宋体" w:hAnsi="宋体"/>
                <w:kern w:val="0"/>
                <w:szCs w:val="21"/>
              </w:rPr>
              <w:t>按收入性质分：</w:t>
            </w:r>
          </w:p>
        </w:tc>
        <w:tc>
          <w:tcPr>
            <w:tcW w:w="3200" w:type="dxa"/>
            <w:gridSpan w:val="2"/>
            <w:vAlign w:val="center"/>
          </w:tcPr>
          <w:p>
            <w:pPr>
              <w:widowControl/>
              <w:jc w:val="left"/>
              <w:rPr>
                <w:rFonts w:ascii="宋体" w:hAnsi="宋体"/>
                <w:kern w:val="0"/>
                <w:szCs w:val="21"/>
              </w:rPr>
            </w:pPr>
            <w:r>
              <w:rPr>
                <w:rFonts w:ascii="宋体" w:hAnsi="宋体"/>
                <w:kern w:val="0"/>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283" w:type="dxa"/>
            <w:vMerge w:val="continue"/>
            <w:vAlign w:val="center"/>
          </w:tcPr>
          <w:p>
            <w:pPr>
              <w:widowControl/>
              <w:jc w:val="left"/>
              <w:rPr>
                <w:rFonts w:eastAsia="黑体"/>
                <w:kern w:val="0"/>
                <w:szCs w:val="21"/>
              </w:rPr>
            </w:pPr>
          </w:p>
        </w:tc>
        <w:tc>
          <w:tcPr>
            <w:tcW w:w="5157" w:type="dxa"/>
            <w:gridSpan w:val="5"/>
            <w:vAlign w:val="center"/>
          </w:tcPr>
          <w:p>
            <w:pPr>
              <w:widowControl/>
              <w:ind w:firstLine="105" w:firstLineChars="50"/>
              <w:jc w:val="left"/>
              <w:rPr>
                <w:rFonts w:ascii="宋体" w:hAnsi="宋体"/>
                <w:kern w:val="0"/>
                <w:szCs w:val="21"/>
              </w:rPr>
            </w:pPr>
            <w:r>
              <w:rPr>
                <w:rFonts w:ascii="宋体" w:hAnsi="宋体"/>
                <w:kern w:val="0"/>
                <w:szCs w:val="21"/>
              </w:rPr>
              <w:t>其中：   公共财政拨款：</w:t>
            </w:r>
            <w:r>
              <w:rPr>
                <w:rFonts w:hint="eastAsia"/>
                <w:kern w:val="0"/>
                <w:szCs w:val="21"/>
              </w:rPr>
              <w:t>536.64</w:t>
            </w:r>
            <w:r>
              <w:rPr>
                <w:rFonts w:hint="eastAsia" w:ascii="宋体" w:hAnsi="宋体"/>
                <w:kern w:val="0"/>
                <w:szCs w:val="21"/>
              </w:rPr>
              <w:t>万元</w:t>
            </w:r>
          </w:p>
        </w:tc>
        <w:tc>
          <w:tcPr>
            <w:tcW w:w="3200" w:type="dxa"/>
            <w:gridSpan w:val="2"/>
            <w:vAlign w:val="center"/>
          </w:tcPr>
          <w:p>
            <w:pPr>
              <w:widowControl/>
              <w:jc w:val="left"/>
              <w:rPr>
                <w:rFonts w:ascii="宋体" w:hAnsi="宋体"/>
                <w:kern w:val="0"/>
                <w:szCs w:val="21"/>
              </w:rPr>
            </w:pPr>
            <w:r>
              <w:rPr>
                <w:rFonts w:ascii="宋体" w:hAnsi="宋体"/>
                <w:kern w:val="0"/>
                <w:szCs w:val="21"/>
              </w:rPr>
              <w:t>其中： 基本支出：</w:t>
            </w:r>
            <w:r>
              <w:rPr>
                <w:rFonts w:hint="eastAsia"/>
                <w:kern w:val="0"/>
                <w:szCs w:val="21"/>
              </w:rPr>
              <w:t xml:space="preserve">536.64万元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283" w:type="dxa"/>
            <w:vMerge w:val="continue"/>
            <w:vAlign w:val="center"/>
          </w:tcPr>
          <w:p>
            <w:pPr>
              <w:widowControl/>
              <w:jc w:val="left"/>
              <w:rPr>
                <w:rFonts w:eastAsia="黑体"/>
                <w:kern w:val="0"/>
                <w:szCs w:val="21"/>
              </w:rPr>
            </w:pPr>
          </w:p>
        </w:tc>
        <w:tc>
          <w:tcPr>
            <w:tcW w:w="5157" w:type="dxa"/>
            <w:gridSpan w:val="5"/>
            <w:vAlign w:val="center"/>
          </w:tcPr>
          <w:p>
            <w:pPr>
              <w:widowControl/>
              <w:jc w:val="left"/>
              <w:rPr>
                <w:rFonts w:ascii="宋体" w:hAnsi="宋体"/>
                <w:kern w:val="0"/>
                <w:szCs w:val="21"/>
              </w:rPr>
            </w:pPr>
            <w:r>
              <w:rPr>
                <w:rFonts w:ascii="宋体" w:hAnsi="宋体"/>
                <w:kern w:val="0"/>
                <w:szCs w:val="21"/>
              </w:rPr>
              <w:t>政府性基金拨款：</w:t>
            </w:r>
          </w:p>
        </w:tc>
        <w:tc>
          <w:tcPr>
            <w:tcW w:w="3200" w:type="dxa"/>
            <w:gridSpan w:val="2"/>
            <w:vAlign w:val="center"/>
          </w:tcPr>
          <w:p>
            <w:pPr>
              <w:widowControl/>
              <w:jc w:val="left"/>
              <w:rPr>
                <w:rFonts w:ascii="宋体" w:hAnsi="宋体"/>
                <w:kern w:val="0"/>
                <w:szCs w:val="21"/>
              </w:rPr>
            </w:pPr>
            <w:r>
              <w:rPr>
                <w:rFonts w:ascii="宋体" w:hAnsi="宋体"/>
                <w:kern w:val="0"/>
                <w:szCs w:val="21"/>
              </w:rPr>
              <w:t xml:space="preserve">       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83" w:type="dxa"/>
            <w:vMerge w:val="continue"/>
            <w:vAlign w:val="center"/>
          </w:tcPr>
          <w:p>
            <w:pPr>
              <w:widowControl/>
              <w:jc w:val="left"/>
              <w:rPr>
                <w:rFonts w:eastAsia="黑体"/>
                <w:kern w:val="0"/>
                <w:szCs w:val="21"/>
              </w:rPr>
            </w:pPr>
          </w:p>
        </w:tc>
        <w:tc>
          <w:tcPr>
            <w:tcW w:w="5157" w:type="dxa"/>
            <w:gridSpan w:val="5"/>
            <w:vAlign w:val="center"/>
          </w:tcPr>
          <w:p>
            <w:pPr>
              <w:widowControl/>
              <w:jc w:val="left"/>
              <w:rPr>
                <w:rFonts w:ascii="宋体" w:hAnsi="宋体"/>
                <w:kern w:val="0"/>
                <w:szCs w:val="21"/>
              </w:rPr>
            </w:pPr>
            <w:r>
              <w:rPr>
                <w:rFonts w:ascii="宋体" w:hAnsi="宋体"/>
                <w:kern w:val="0"/>
                <w:szCs w:val="21"/>
              </w:rPr>
              <w:t>纳入专户管理的非税收入拨款：</w:t>
            </w:r>
          </w:p>
        </w:tc>
        <w:tc>
          <w:tcPr>
            <w:tcW w:w="3200" w:type="dxa"/>
            <w:gridSpan w:val="2"/>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83" w:type="dxa"/>
            <w:vMerge w:val="continue"/>
            <w:vAlign w:val="center"/>
          </w:tcPr>
          <w:p>
            <w:pPr>
              <w:widowControl/>
              <w:jc w:val="left"/>
              <w:rPr>
                <w:rFonts w:eastAsia="黑体"/>
                <w:kern w:val="0"/>
                <w:szCs w:val="21"/>
              </w:rPr>
            </w:pPr>
          </w:p>
        </w:tc>
        <w:tc>
          <w:tcPr>
            <w:tcW w:w="5157" w:type="dxa"/>
            <w:gridSpan w:val="5"/>
            <w:vAlign w:val="center"/>
          </w:tcPr>
          <w:p>
            <w:pPr>
              <w:widowControl/>
              <w:jc w:val="left"/>
              <w:rPr>
                <w:rFonts w:ascii="宋体" w:hAnsi="宋体"/>
                <w:kern w:val="0"/>
                <w:szCs w:val="21"/>
              </w:rPr>
            </w:pPr>
            <w:r>
              <w:rPr>
                <w:rFonts w:ascii="宋体" w:hAnsi="宋体"/>
                <w:kern w:val="0"/>
                <w:szCs w:val="21"/>
              </w:rPr>
              <w:t xml:space="preserve">                  其他资金：</w:t>
            </w:r>
          </w:p>
        </w:tc>
        <w:tc>
          <w:tcPr>
            <w:tcW w:w="3200" w:type="dxa"/>
            <w:gridSpan w:val="2"/>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283" w:type="dxa"/>
            <w:vAlign w:val="center"/>
          </w:tcPr>
          <w:p>
            <w:pPr>
              <w:widowControl/>
              <w:jc w:val="center"/>
              <w:rPr>
                <w:rFonts w:ascii="宋体" w:hAnsi="宋体"/>
                <w:kern w:val="0"/>
                <w:szCs w:val="21"/>
              </w:rPr>
            </w:pPr>
            <w:r>
              <w:rPr>
                <w:rFonts w:ascii="宋体" w:hAnsi="宋体"/>
                <w:kern w:val="0"/>
                <w:szCs w:val="21"/>
              </w:rPr>
              <w:t>部门职能</w:t>
            </w:r>
            <w:r>
              <w:rPr>
                <w:rFonts w:hint="eastAsia" w:ascii="宋体" w:hAnsi="宋体"/>
                <w:kern w:val="0"/>
                <w:szCs w:val="21"/>
              </w:rPr>
              <w:t>职责</w:t>
            </w:r>
            <w:r>
              <w:rPr>
                <w:rFonts w:ascii="宋体" w:hAnsi="宋体"/>
                <w:kern w:val="0"/>
                <w:szCs w:val="21"/>
              </w:rPr>
              <w:t>概述</w:t>
            </w:r>
          </w:p>
        </w:tc>
        <w:tc>
          <w:tcPr>
            <w:tcW w:w="8357" w:type="dxa"/>
            <w:gridSpan w:val="7"/>
            <w:vAlign w:val="center"/>
          </w:tcPr>
          <w:p>
            <w:pPr>
              <w:ind w:firstLine="420" w:firstLineChars="200"/>
              <w:rPr>
                <w:rFonts w:eastAsia="宋体"/>
                <w:kern w:val="0"/>
                <w:szCs w:val="21"/>
              </w:rPr>
            </w:pPr>
            <w:r>
              <w:rPr>
                <w:rFonts w:hint="eastAsia"/>
                <w:kern w:val="0"/>
                <w:szCs w:val="21"/>
              </w:rPr>
              <w:t>1、</w:t>
            </w:r>
            <w:r>
              <w:rPr>
                <w:rFonts w:hint="eastAsia" w:eastAsia="宋体"/>
                <w:kern w:val="0"/>
                <w:szCs w:val="21"/>
              </w:rPr>
              <w:t>执行上级国家行政机关的决定、命令和国家制定的法令、法规，接受同级党委的领导，执行本级人民代表大会的各项决议，并报告执行决议、决定和命令的情况。</w:t>
            </w:r>
          </w:p>
          <w:p>
            <w:pPr>
              <w:ind w:firstLine="420" w:firstLineChars="200"/>
              <w:rPr>
                <w:rFonts w:eastAsia="宋体"/>
                <w:kern w:val="0"/>
                <w:szCs w:val="21"/>
              </w:rPr>
            </w:pPr>
            <w:r>
              <w:rPr>
                <w:rFonts w:hint="eastAsia" w:eastAsia="宋体"/>
                <w:kern w:val="0"/>
                <w:szCs w:val="21"/>
              </w:rPr>
              <w:t>2、制定并落实本行政区域的经济计划和措施，促进产业结构调整及其他经济保持平衡协调发展，全面提高人民群众的生活水平和生活质量。</w:t>
            </w:r>
          </w:p>
          <w:p>
            <w:pPr>
              <w:ind w:firstLine="420" w:firstLineChars="200"/>
              <w:rPr>
                <w:rFonts w:eastAsia="宋体"/>
                <w:kern w:val="0"/>
                <w:szCs w:val="21"/>
              </w:rPr>
            </w:pPr>
            <w:r>
              <w:rPr>
                <w:rFonts w:hint="eastAsia" w:eastAsia="宋体"/>
                <w:kern w:val="0"/>
                <w:szCs w:val="21"/>
              </w:rPr>
              <w:t>3、承担国有资产、集体资产管理、监督及增值保值责任;保护公民私人所有合法财产，保障集体经济组织应有的自主权;监督企业和各种经济联合体、个体户认真执行国家的法律、法令和政策，履行经济合同。</w:t>
            </w:r>
          </w:p>
          <w:p>
            <w:pPr>
              <w:ind w:firstLine="420" w:firstLineChars="200"/>
              <w:rPr>
                <w:rFonts w:eastAsia="宋体"/>
                <w:kern w:val="0"/>
                <w:szCs w:val="21"/>
              </w:rPr>
            </w:pPr>
            <w:r>
              <w:rPr>
                <w:rFonts w:hint="eastAsia" w:eastAsia="宋体"/>
                <w:kern w:val="0"/>
                <w:szCs w:val="21"/>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ind w:firstLine="420" w:firstLineChars="200"/>
              <w:rPr>
                <w:rFonts w:eastAsia="宋体"/>
                <w:kern w:val="0"/>
                <w:szCs w:val="21"/>
              </w:rPr>
            </w:pPr>
            <w:r>
              <w:rPr>
                <w:rFonts w:hint="eastAsia"/>
                <w:kern w:val="0"/>
                <w:szCs w:val="21"/>
              </w:rPr>
              <w:t>5</w:t>
            </w:r>
            <w:r>
              <w:rPr>
                <w:rFonts w:hint="eastAsia" w:eastAsia="宋体"/>
                <w:kern w:val="0"/>
                <w:szCs w:val="21"/>
              </w:rPr>
              <w:t>、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ind w:firstLine="420" w:firstLineChars="200"/>
              <w:rPr>
                <w:rFonts w:eastAsia="宋体"/>
                <w:kern w:val="0"/>
                <w:szCs w:val="21"/>
              </w:rPr>
            </w:pPr>
            <w:r>
              <w:rPr>
                <w:rFonts w:hint="eastAsia" w:eastAsia="宋体"/>
                <w:kern w:val="0"/>
                <w:szCs w:val="21"/>
              </w:rPr>
              <w:t>6、加强乡镇级财政的监督和管理，按计划组织、管理镇财政收入和支出，执行国家有关财经纪律和政策，保证国家财政收入的完成;做好统计工作。</w:t>
            </w:r>
          </w:p>
          <w:p>
            <w:pPr>
              <w:ind w:firstLine="420" w:firstLineChars="200"/>
              <w:rPr>
                <w:rFonts w:eastAsia="宋体"/>
                <w:kern w:val="0"/>
                <w:szCs w:val="21"/>
              </w:rPr>
            </w:pPr>
            <w:r>
              <w:rPr>
                <w:rFonts w:hint="eastAsia" w:eastAsia="宋体"/>
                <w:kern w:val="0"/>
                <w:szCs w:val="21"/>
              </w:rPr>
              <w:t>7、指导、支持、帮助村(居)民委员会的组织制度建设和业务建设，促进村(居)民委员会民主自治。</w:t>
            </w:r>
          </w:p>
          <w:p>
            <w:pPr>
              <w:ind w:firstLine="420" w:firstLineChars="200"/>
              <w:rPr>
                <w:rFonts w:eastAsia="宋体"/>
                <w:kern w:val="0"/>
                <w:szCs w:val="21"/>
              </w:rPr>
            </w:pPr>
            <w:r>
              <w:rPr>
                <w:rFonts w:hint="eastAsia" w:eastAsia="宋体"/>
                <w:kern w:val="0"/>
                <w:szCs w:val="21"/>
              </w:rPr>
              <w:t>8、制定和组织实施乡、村建设规划;加强公用、市政设施、水利建设和管理以及房屋土地管理和环境综合整治工作，保护和改善生活环境和生态环境。</w:t>
            </w:r>
          </w:p>
          <w:p>
            <w:pPr>
              <w:ind w:firstLine="420" w:firstLineChars="200"/>
              <w:rPr>
                <w:rFonts w:eastAsia="宋体"/>
                <w:kern w:val="0"/>
                <w:szCs w:val="21"/>
              </w:rPr>
            </w:pPr>
            <w:r>
              <w:rPr>
                <w:rFonts w:hint="eastAsia" w:eastAsia="宋体"/>
                <w:kern w:val="0"/>
                <w:szCs w:val="21"/>
              </w:rPr>
              <w:t>9、协助和支持设置在本行政区域内不隶属于乡镇的国家机关和企事业单位工作，监督其遵守和执行国家的法律、法规和政策。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283" w:type="dxa"/>
            <w:vMerge w:val="restart"/>
            <w:vAlign w:val="center"/>
          </w:tcPr>
          <w:p>
            <w:pPr>
              <w:widowControl/>
              <w:jc w:val="center"/>
              <w:rPr>
                <w:rFonts w:ascii="宋体" w:hAnsi="宋体"/>
                <w:kern w:val="0"/>
                <w:szCs w:val="21"/>
              </w:rPr>
            </w:pPr>
            <w:r>
              <w:rPr>
                <w:rFonts w:ascii="宋体" w:hAnsi="宋体"/>
                <w:kern w:val="0"/>
                <w:szCs w:val="21"/>
              </w:rPr>
              <w:t>部门整体支出年度绩效指标</w:t>
            </w:r>
          </w:p>
        </w:tc>
        <w:tc>
          <w:tcPr>
            <w:tcW w:w="1860" w:type="dxa"/>
            <w:gridSpan w:val="2"/>
            <w:vMerge w:val="restart"/>
            <w:vAlign w:val="center"/>
          </w:tcPr>
          <w:p>
            <w:pPr>
              <w:widowControl/>
              <w:jc w:val="left"/>
              <w:rPr>
                <w:kern w:val="0"/>
                <w:szCs w:val="21"/>
              </w:rPr>
            </w:pPr>
            <w:r>
              <w:rPr>
                <w:rFonts w:hint="eastAsia"/>
                <w:kern w:val="0"/>
                <w:szCs w:val="21"/>
              </w:rPr>
              <w:t>绩效目标内容1：</w:t>
            </w:r>
          </w:p>
          <w:p>
            <w:pPr>
              <w:widowControl/>
              <w:jc w:val="left"/>
              <w:rPr>
                <w:kern w:val="0"/>
                <w:szCs w:val="21"/>
              </w:rPr>
            </w:pPr>
            <w:r>
              <w:rPr>
                <w:rFonts w:hint="eastAsia"/>
              </w:rPr>
              <w:t>乡镇</w:t>
            </w:r>
            <w:r>
              <w:t>经济发展</w:t>
            </w:r>
          </w:p>
        </w:tc>
        <w:tc>
          <w:tcPr>
            <w:tcW w:w="6497" w:type="dxa"/>
            <w:gridSpan w:val="5"/>
            <w:vAlign w:val="center"/>
          </w:tcPr>
          <w:p>
            <w:pPr>
              <w:widowControl/>
              <w:jc w:val="left"/>
              <w:rPr>
                <w:kern w:val="0"/>
                <w:szCs w:val="21"/>
              </w:rPr>
            </w:pPr>
            <w:r>
              <w:rPr>
                <w:kern w:val="0"/>
                <w:szCs w:val="21"/>
              </w:rPr>
              <w:t>产出指标</w:t>
            </w:r>
            <w:r>
              <w:rPr>
                <w:rFonts w:hint="eastAsia"/>
                <w:kern w:val="0"/>
                <w:szCs w:val="21"/>
              </w:rPr>
              <w:t>（数量、质量、成本、时间、其他）：</w:t>
            </w:r>
          </w:p>
          <w:p>
            <w:pPr>
              <w:rPr>
                <w:rFonts w:eastAsia="宋体"/>
                <w:kern w:val="0"/>
                <w:szCs w:val="21"/>
              </w:rPr>
            </w:pPr>
            <w:r>
              <w:rPr>
                <w:rFonts w:hint="eastAsia"/>
                <w:kern w:val="0"/>
                <w:szCs w:val="21"/>
              </w:rPr>
              <w:t xml:space="preserve">    1</w:t>
            </w:r>
            <w:r>
              <w:rPr>
                <w:rFonts w:hint="eastAsia" w:eastAsia="宋体"/>
                <w:kern w:val="0"/>
                <w:szCs w:val="21"/>
              </w:rPr>
              <w:t>、</w:t>
            </w:r>
            <w:r>
              <w:rPr>
                <w:rFonts w:eastAsia="宋体"/>
                <w:kern w:val="0"/>
                <w:szCs w:val="21"/>
              </w:rPr>
              <w:t>经济发展及小康建设统计工作。按照县小康办文件和要求，</w:t>
            </w:r>
            <w:r>
              <w:rPr>
                <w:rFonts w:hint="eastAsia" w:eastAsia="宋体"/>
                <w:kern w:val="0"/>
                <w:szCs w:val="21"/>
              </w:rPr>
              <w:t>按</w:t>
            </w:r>
            <w:r>
              <w:rPr>
                <w:rFonts w:eastAsia="宋体"/>
                <w:kern w:val="0"/>
                <w:szCs w:val="21"/>
              </w:rPr>
              <w:t>全面建成小康社会推进工作任务责任分解表，将各项工作责任分解到主要负责领导；通过实地调查统计，完成全面建成小康社会考评统计指标表编写工作；制定并按步实施了全面建成小康社</w:t>
            </w:r>
            <w:r>
              <w:rPr>
                <w:rFonts w:hint="eastAsia" w:eastAsia="宋体"/>
                <w:kern w:val="0"/>
                <w:szCs w:val="21"/>
              </w:rPr>
              <w:t>会</w:t>
            </w:r>
            <w:r>
              <w:rPr>
                <w:rFonts w:eastAsia="宋体"/>
                <w:kern w:val="0"/>
                <w:szCs w:val="21"/>
              </w:rPr>
              <w:t>201</w:t>
            </w:r>
            <w:r>
              <w:rPr>
                <w:rFonts w:hint="eastAsia" w:eastAsia="宋体"/>
                <w:kern w:val="0"/>
                <w:szCs w:val="21"/>
              </w:rPr>
              <w:t>6—</w:t>
            </w:r>
            <w:r>
              <w:rPr>
                <w:rFonts w:eastAsia="宋体"/>
                <w:kern w:val="0"/>
                <w:szCs w:val="21"/>
              </w:rPr>
              <w:t>20</w:t>
            </w:r>
            <w:r>
              <w:rPr>
                <w:rFonts w:hint="eastAsia" w:eastAsia="宋体"/>
                <w:kern w:val="0"/>
                <w:szCs w:val="21"/>
              </w:rPr>
              <w:t>20</w:t>
            </w:r>
            <w:r>
              <w:rPr>
                <w:rFonts w:eastAsia="宋体"/>
                <w:kern w:val="0"/>
                <w:szCs w:val="21"/>
              </w:rPr>
              <w:t>年</w:t>
            </w:r>
            <w:r>
              <w:rPr>
                <w:rFonts w:hint="eastAsia" w:eastAsia="宋体"/>
                <w:kern w:val="0"/>
                <w:szCs w:val="21"/>
              </w:rPr>
              <w:t>五</w:t>
            </w:r>
            <w:r>
              <w:rPr>
                <w:rFonts w:eastAsia="宋体"/>
                <w:kern w:val="0"/>
                <w:szCs w:val="21"/>
              </w:rPr>
              <w:t>年</w:t>
            </w:r>
            <w:r>
              <w:rPr>
                <w:rFonts w:hint="eastAsia" w:eastAsia="宋体"/>
                <w:kern w:val="0"/>
                <w:szCs w:val="21"/>
              </w:rPr>
              <w:t>规划。</w:t>
            </w:r>
          </w:p>
          <w:p>
            <w:pPr>
              <w:widowControl/>
              <w:jc w:val="left"/>
            </w:pPr>
            <w:r>
              <w:rPr>
                <w:rFonts w:hint="eastAsia"/>
              </w:rPr>
              <w:t xml:space="preserve">    2、</w:t>
            </w:r>
            <w:r>
              <w:t>财税任务。制定措施，扩大税源，分步实施，</w:t>
            </w:r>
            <w:r>
              <w:rPr>
                <w:rFonts w:hint="eastAsia"/>
              </w:rPr>
              <w:t>2018年我乡共完成县下达财政税收任务32万元，其中：国税16万元，地税16万元，征收社会抚养费 10万元。现已全部完成任务，完成率100%。</w:t>
            </w:r>
          </w:p>
          <w:p>
            <w:pPr>
              <w:ind w:firstLine="420" w:firstLineChars="200"/>
              <w:jc w:val="left"/>
            </w:pPr>
            <w:r>
              <w:rPr>
                <w:rFonts w:hint="eastAsia"/>
              </w:rPr>
              <w:t>3、调整农业产业结构。按照“四跟四走即资金跟着穷人走、穷人跟着能人走、能人跟着产业走、产业项目跟着市场走”的产业扶贫路子，加强统筹规划和引导；按照“三有三定三结合”的扶贫产业发展政策，因村因户施策，大力发展县政府确定的九大产业项目，确保“人有业、户有社、村有品”产业格局，增强贫困群众的造血功能和内生动力，做到有劳动能力的贫困户都产业在手、就业在岗，做到没有劳动能力的贫困户以委托帮扶的形式加入村级扶贫专业合作社，到年底时参与村级合作社分红。2018年冬种油菜奖补资金按1500亩计算预计投入33万元，2018年引导村合作社到贵太太公司参加投资分红资金163.8万元。根据县委县政府相关文件精神结合我乡的实际情况，2018年我乡出台了乡定自选产业目录和实施方案，定种养项目及规模、定奖补标准，按照每人不超过300元、每户不超过1000元的奖补标准，用于直接帮扶乐安未脱贫困人口902人发展县重点产业和乡自选产业，于今年8月、9月、11月三次组织干部上户进行产业验收，目前自选产业帮扶资金均已发放至扶贫补贴明白卡。2018年乡财政投入产业扶贫资金269.01万元，其中对贫困户自选产业奖补15.53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83" w:type="dxa"/>
            <w:vMerge w:val="continue"/>
            <w:vAlign w:val="center"/>
          </w:tcPr>
          <w:p>
            <w:pPr>
              <w:widowControl/>
              <w:jc w:val="center"/>
              <w:rPr>
                <w:rFonts w:ascii="宋体" w:hAnsi="宋体"/>
                <w:kern w:val="0"/>
                <w:szCs w:val="21"/>
              </w:rPr>
            </w:pPr>
          </w:p>
        </w:tc>
        <w:tc>
          <w:tcPr>
            <w:tcW w:w="1860" w:type="dxa"/>
            <w:gridSpan w:val="2"/>
            <w:vMerge w:val="continue"/>
            <w:vAlign w:val="center"/>
          </w:tcPr>
          <w:p>
            <w:pPr>
              <w:widowControl/>
              <w:jc w:val="left"/>
              <w:rPr>
                <w:kern w:val="0"/>
                <w:szCs w:val="21"/>
              </w:rPr>
            </w:pPr>
          </w:p>
        </w:tc>
        <w:tc>
          <w:tcPr>
            <w:tcW w:w="6497" w:type="dxa"/>
            <w:gridSpan w:val="5"/>
            <w:vAlign w:val="center"/>
          </w:tcPr>
          <w:p>
            <w:pPr>
              <w:widowControl/>
              <w:jc w:val="left"/>
              <w:rPr>
                <w:kern w:val="0"/>
                <w:szCs w:val="21"/>
              </w:rPr>
            </w:pPr>
            <w:r>
              <w:rPr>
                <w:kern w:val="0"/>
                <w:szCs w:val="21"/>
              </w:rPr>
              <w:t>效益指标</w:t>
            </w:r>
            <w:r>
              <w:rPr>
                <w:rFonts w:hint="eastAsia"/>
                <w:kern w:val="0"/>
                <w:szCs w:val="21"/>
              </w:rPr>
              <w:t>（经济效益、社会效益、生态效益、可持续影响、满意度）：</w:t>
            </w:r>
          </w:p>
          <w:p>
            <w:pPr>
              <w:widowControl/>
              <w:ind w:firstLine="420" w:firstLineChars="200"/>
              <w:jc w:val="left"/>
              <w:rPr>
                <w:kern w:val="0"/>
                <w:szCs w:val="21"/>
              </w:rPr>
            </w:pPr>
            <w:r>
              <w:rPr>
                <w:rFonts w:hint="eastAsia"/>
                <w:kern w:val="0"/>
                <w:szCs w:val="21"/>
              </w:rPr>
              <w:t>1、经济效益指标：大力发展农业，促进了农村的经济发展，提高了农村的生活质量，提高了农民的收入。</w:t>
            </w:r>
          </w:p>
          <w:p>
            <w:pPr>
              <w:widowControl/>
              <w:ind w:firstLine="420" w:firstLineChars="200"/>
              <w:jc w:val="left"/>
              <w:rPr>
                <w:kern w:val="0"/>
                <w:szCs w:val="21"/>
              </w:rPr>
            </w:pPr>
            <w:r>
              <w:rPr>
                <w:rFonts w:hint="eastAsia"/>
                <w:kern w:val="0"/>
                <w:szCs w:val="21"/>
              </w:rPr>
              <w:t>2、经济效益指标：各项税费的征收，保障了国家财政收入，为更好的发挥政府职能打下了经济基础。</w:t>
            </w:r>
          </w:p>
          <w:p>
            <w:pPr>
              <w:widowControl/>
              <w:ind w:firstLine="420" w:firstLineChars="200"/>
              <w:jc w:val="left"/>
              <w:rPr>
                <w:kern w:val="0"/>
                <w:szCs w:val="21"/>
              </w:rPr>
            </w:pPr>
            <w:r>
              <w:rPr>
                <w:rFonts w:hint="eastAsia"/>
                <w:kern w:val="0"/>
                <w:szCs w:val="21"/>
              </w:rPr>
              <w:t>3、社会效益指标：进一步推进乡镇、农村社会发展进程，按照</w:t>
            </w:r>
            <w:r>
              <w:rPr>
                <w:kern w:val="0"/>
                <w:szCs w:val="21"/>
              </w:rPr>
              <w:t>201</w:t>
            </w:r>
            <w:r>
              <w:rPr>
                <w:rFonts w:hint="eastAsia"/>
                <w:kern w:val="0"/>
                <w:szCs w:val="21"/>
              </w:rPr>
              <w:t>6—</w:t>
            </w:r>
            <w:r>
              <w:rPr>
                <w:kern w:val="0"/>
                <w:szCs w:val="21"/>
              </w:rPr>
              <w:t>20</w:t>
            </w:r>
            <w:r>
              <w:rPr>
                <w:rFonts w:hint="eastAsia"/>
                <w:kern w:val="0"/>
                <w:szCs w:val="21"/>
              </w:rPr>
              <w:t>20</w:t>
            </w:r>
            <w:r>
              <w:rPr>
                <w:kern w:val="0"/>
                <w:szCs w:val="21"/>
              </w:rPr>
              <w:t>年</w:t>
            </w:r>
            <w:r>
              <w:rPr>
                <w:rFonts w:hint="eastAsia"/>
                <w:kern w:val="0"/>
                <w:szCs w:val="21"/>
              </w:rPr>
              <w:t>五</w:t>
            </w:r>
            <w:r>
              <w:rPr>
                <w:kern w:val="0"/>
                <w:szCs w:val="21"/>
              </w:rPr>
              <w:t>年</w:t>
            </w:r>
            <w:r>
              <w:rPr>
                <w:rFonts w:hint="eastAsia"/>
                <w:kern w:val="0"/>
                <w:szCs w:val="21"/>
              </w:rPr>
              <w:t>规划，推进</w:t>
            </w:r>
            <w:r>
              <w:rPr>
                <w:kern w:val="0"/>
                <w:szCs w:val="21"/>
              </w:rPr>
              <w:t>全面建成小康社</w:t>
            </w:r>
            <w:r>
              <w:rPr>
                <w:rFonts w:hint="eastAsia"/>
                <w:kern w:val="0"/>
                <w:szCs w:val="21"/>
              </w:rPr>
              <w:t>会。</w:t>
            </w:r>
          </w:p>
          <w:p>
            <w:pPr>
              <w:widowControl/>
              <w:ind w:firstLine="420" w:firstLineChars="200"/>
              <w:jc w:val="left"/>
              <w:rPr>
                <w:kern w:val="0"/>
                <w:szCs w:val="21"/>
              </w:rPr>
            </w:pPr>
            <w:r>
              <w:rPr>
                <w:rFonts w:hint="eastAsia"/>
                <w:kern w:val="0"/>
                <w:szCs w:val="21"/>
              </w:rPr>
              <w:t>4、生态效益指标：依托</w:t>
            </w:r>
            <w:r>
              <w:rPr>
                <w:kern w:val="0"/>
                <w:szCs w:val="21"/>
              </w:rPr>
              <w:t>规模种养基地</w:t>
            </w:r>
            <w:r>
              <w:rPr>
                <w:rFonts w:hint="eastAsia"/>
                <w:kern w:val="0"/>
                <w:szCs w:val="21"/>
              </w:rPr>
              <w:t>建设、保护环境、倡导绿色环保等打造绿色生态产业链，实现可持续发展的生态工程。</w:t>
            </w:r>
          </w:p>
          <w:p>
            <w:pPr>
              <w:widowControl/>
              <w:ind w:firstLine="420" w:firstLineChars="200"/>
              <w:jc w:val="left"/>
              <w:rPr>
                <w:kern w:val="0"/>
                <w:szCs w:val="21"/>
              </w:rPr>
            </w:pPr>
            <w:r>
              <w:rPr>
                <w:rFonts w:hint="eastAsia"/>
                <w:kern w:val="0"/>
                <w:szCs w:val="21"/>
              </w:rPr>
              <w:t>5、可持续影响指标：坚持以可持续发展、创新为目标，促进社会经济、农业、环境等统筹发展。</w:t>
            </w:r>
          </w:p>
          <w:p>
            <w:pPr>
              <w:widowControl/>
              <w:ind w:firstLine="420" w:firstLineChars="200"/>
              <w:jc w:val="left"/>
              <w:rPr>
                <w:kern w:val="0"/>
                <w:szCs w:val="21"/>
              </w:rPr>
            </w:pPr>
            <w:r>
              <w:rPr>
                <w:rFonts w:hint="eastAsia"/>
                <w:kern w:val="0"/>
                <w:szCs w:val="21"/>
              </w:rPr>
              <w:t>6、社会公众或服务对象满意度指标：各类政策落实、为民办实事等工作群众满意度100%。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83" w:type="dxa"/>
            <w:vMerge w:val="continue"/>
            <w:vAlign w:val="center"/>
          </w:tcPr>
          <w:p>
            <w:pPr>
              <w:widowControl/>
              <w:jc w:val="center"/>
              <w:rPr>
                <w:rFonts w:ascii="宋体" w:hAnsi="宋体"/>
                <w:kern w:val="0"/>
                <w:szCs w:val="21"/>
              </w:rPr>
            </w:pPr>
          </w:p>
        </w:tc>
        <w:tc>
          <w:tcPr>
            <w:tcW w:w="1860" w:type="dxa"/>
            <w:gridSpan w:val="2"/>
            <w:vMerge w:val="restart"/>
            <w:vAlign w:val="center"/>
          </w:tcPr>
          <w:p>
            <w:pPr>
              <w:widowControl/>
              <w:jc w:val="left"/>
              <w:rPr>
                <w:kern w:val="0"/>
                <w:szCs w:val="21"/>
              </w:rPr>
            </w:pPr>
            <w:r>
              <w:rPr>
                <w:rFonts w:hint="eastAsia"/>
                <w:kern w:val="0"/>
                <w:szCs w:val="21"/>
              </w:rPr>
              <w:t>绩效目标内容2：</w:t>
            </w:r>
          </w:p>
          <w:p>
            <w:pPr>
              <w:widowControl/>
              <w:jc w:val="left"/>
              <w:rPr>
                <w:kern w:val="0"/>
                <w:szCs w:val="21"/>
              </w:rPr>
            </w:pPr>
            <w:r>
              <w:t>基础设施与公用设施建设与管理</w:t>
            </w:r>
          </w:p>
        </w:tc>
        <w:tc>
          <w:tcPr>
            <w:tcW w:w="6497" w:type="dxa"/>
            <w:gridSpan w:val="5"/>
            <w:vAlign w:val="center"/>
          </w:tcPr>
          <w:p>
            <w:pPr>
              <w:widowControl/>
              <w:jc w:val="left"/>
              <w:rPr>
                <w:kern w:val="0"/>
                <w:szCs w:val="21"/>
              </w:rPr>
            </w:pPr>
            <w:r>
              <w:rPr>
                <w:kern w:val="0"/>
                <w:szCs w:val="21"/>
              </w:rPr>
              <w:t>产出指标</w:t>
            </w:r>
            <w:r>
              <w:rPr>
                <w:rFonts w:hint="eastAsia"/>
                <w:kern w:val="0"/>
                <w:szCs w:val="21"/>
              </w:rPr>
              <w:t>：</w:t>
            </w:r>
          </w:p>
          <w:p>
            <w:pPr>
              <w:spacing w:line="560" w:lineRule="exact"/>
              <w:ind w:firstLine="420" w:firstLineChars="200"/>
            </w:pPr>
            <w:r>
              <w:t>1</w:t>
            </w:r>
            <w:r>
              <w:rPr>
                <w:rFonts w:hint="eastAsia"/>
              </w:rPr>
              <w:t>、</w:t>
            </w:r>
            <w:r>
              <w:t>基础设施建设。</w:t>
            </w:r>
            <w:r>
              <w:rPr>
                <w:rFonts w:hint="eastAsia"/>
              </w:rPr>
              <w:t>我乡将加强与县交通局、移民局、扶贫办等部门的衔接，完成乐安村农村公路“窄改宽”项目收尾工作，2018年农村公路建设共投资350万元，其中“窄加宽”改造里程数7.73公里（瓦窑村6.09公里，大团村0.64公里），通组公路建设里程数共5.256公里（瓦窑村1.666公里、联丰村2.072、天堂村1.518公里），均已完工。</w:t>
            </w:r>
          </w:p>
          <w:p>
            <w:pPr>
              <w:spacing w:line="560" w:lineRule="exact"/>
              <w:ind w:firstLine="420" w:firstLineChars="200"/>
            </w:pPr>
            <w:r>
              <w:rPr>
                <w:rFonts w:hint="eastAsia"/>
              </w:rPr>
              <w:t>完成31个农村小额基础设施建设项目，包含水圳、水坝、防洪渠、保坎、道路硬化等，共计投入资金200万元，受益人口1.1万人。</w:t>
            </w:r>
          </w:p>
          <w:p>
            <w:pPr>
              <w:ind w:firstLine="420" w:firstLineChars="200"/>
              <w:jc w:val="left"/>
            </w:pPr>
            <w:r>
              <w:rPr>
                <w:rFonts w:hint="eastAsia"/>
              </w:rPr>
              <w:t>投资380万元完成了全乡8个行政村的村级综合服务平台建设，完善了卫生室、文体场所、休闲运动设施和便民服务中心等各项配套设施。建立村干部值班和包村领导接待日制度，优化服务流程，提高服务质量，积极改善群众生活居住环境；推进村级卫生室建设和农村安全饮水工程项目，着力提升群众居住条件，增强群众获得感和满意度。</w:t>
            </w:r>
          </w:p>
          <w:p>
            <w:pPr>
              <w:widowControl/>
              <w:ind w:firstLine="420" w:firstLineChars="200"/>
              <w:jc w:val="left"/>
            </w:pPr>
            <w:r>
              <w:rPr>
                <w:rFonts w:hint="eastAsia"/>
              </w:rPr>
              <w:t>2、继续推进城乡环境卫生整治。加大宣传力度，营造全民参与氛围；制定农村环境卫生公约，提高乡民素质；与各村签订责任状，并制定督查奖惩考核办法，实行季度检查制，对检查结果进行排名并纳入年底村级绩效文明考核；加大对重点区域的整治力度，使农村居住环境得到有效改善。</w:t>
            </w:r>
          </w:p>
          <w:p>
            <w:pPr>
              <w:ind w:firstLine="420" w:firstLineChars="200"/>
            </w:pPr>
            <w:r>
              <w:rPr>
                <w:rFonts w:hint="eastAsia"/>
              </w:rPr>
              <w:t>3、生态环境保护。2018年完成幼林抚育9300亩；2018年春季造林945亩，打造绿色生态，全面推行河长制，对全乡溪流展开定期巡查，确保山清水秀。为迎接中央环保督查，在禁养区内拆除养殖场3家，对废水、排泄物处理不合格的养殖场进行了改造升级，新建沼气池6口； 8月拆除了联丰一家非法炼油厂，10月拆除了大团砖窑厂。2018年全年无环境污染事故发生，全乡生态效应逐步显现。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83" w:type="dxa"/>
            <w:vMerge w:val="continue"/>
            <w:vAlign w:val="center"/>
          </w:tcPr>
          <w:p>
            <w:pPr>
              <w:widowControl/>
              <w:jc w:val="center"/>
              <w:rPr>
                <w:rFonts w:ascii="宋体" w:hAnsi="宋体"/>
                <w:kern w:val="0"/>
                <w:szCs w:val="21"/>
              </w:rPr>
            </w:pPr>
          </w:p>
        </w:tc>
        <w:tc>
          <w:tcPr>
            <w:tcW w:w="1860" w:type="dxa"/>
            <w:gridSpan w:val="2"/>
            <w:vMerge w:val="continue"/>
            <w:vAlign w:val="center"/>
          </w:tcPr>
          <w:p>
            <w:pPr>
              <w:widowControl/>
              <w:jc w:val="left"/>
              <w:rPr>
                <w:kern w:val="0"/>
                <w:szCs w:val="21"/>
              </w:rPr>
            </w:pPr>
          </w:p>
        </w:tc>
        <w:tc>
          <w:tcPr>
            <w:tcW w:w="6497" w:type="dxa"/>
            <w:gridSpan w:val="5"/>
            <w:vAlign w:val="center"/>
          </w:tcPr>
          <w:p>
            <w:pPr>
              <w:widowControl/>
              <w:jc w:val="left"/>
              <w:rPr>
                <w:kern w:val="0"/>
                <w:szCs w:val="21"/>
              </w:rPr>
            </w:pPr>
            <w:r>
              <w:rPr>
                <w:rFonts w:hint="eastAsia"/>
                <w:kern w:val="0"/>
                <w:szCs w:val="21"/>
              </w:rPr>
              <w:t>效益指标：1、经济效益指标：道路、水利等基础设施建设稳步推进，为乐安乡经济发展提供了客观条件。</w:t>
            </w:r>
          </w:p>
          <w:p>
            <w:pPr>
              <w:widowControl/>
              <w:ind w:firstLine="420" w:firstLineChars="200"/>
              <w:jc w:val="left"/>
              <w:rPr>
                <w:kern w:val="0"/>
                <w:szCs w:val="21"/>
              </w:rPr>
            </w:pPr>
            <w:r>
              <w:rPr>
                <w:rFonts w:hint="eastAsia"/>
                <w:kern w:val="0"/>
                <w:szCs w:val="21"/>
              </w:rPr>
              <w:t>2、经济效益指标：特色产业不断发展，创造新的经济增长点，为农民创收提供保障。</w:t>
            </w:r>
          </w:p>
          <w:p>
            <w:pPr>
              <w:widowControl/>
              <w:ind w:firstLine="420" w:firstLineChars="200"/>
              <w:jc w:val="left"/>
              <w:rPr>
                <w:kern w:val="0"/>
                <w:szCs w:val="21"/>
              </w:rPr>
            </w:pPr>
            <w:r>
              <w:rPr>
                <w:rFonts w:hint="eastAsia"/>
                <w:kern w:val="0"/>
                <w:szCs w:val="21"/>
              </w:rPr>
              <w:t>3、社会效益指标：深化为人民服务宗旨，坚持为群众办实事、办好事，切实解决人民群众实际困难。</w:t>
            </w:r>
          </w:p>
          <w:p>
            <w:pPr>
              <w:widowControl/>
              <w:ind w:firstLine="420" w:firstLineChars="200"/>
              <w:jc w:val="left"/>
              <w:rPr>
                <w:kern w:val="0"/>
                <w:szCs w:val="21"/>
              </w:rPr>
            </w:pPr>
            <w:r>
              <w:rPr>
                <w:rFonts w:hint="eastAsia"/>
                <w:kern w:val="0"/>
                <w:szCs w:val="21"/>
              </w:rPr>
              <w:t>4、社会公众或服务对象满意度指标：各项工作稳步落实，群众满意度100%。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83" w:type="dxa"/>
            <w:vMerge w:val="continue"/>
            <w:vAlign w:val="center"/>
          </w:tcPr>
          <w:p>
            <w:pPr>
              <w:widowControl/>
              <w:jc w:val="center"/>
              <w:rPr>
                <w:rFonts w:ascii="宋体" w:hAnsi="宋体"/>
                <w:kern w:val="0"/>
                <w:szCs w:val="21"/>
              </w:rPr>
            </w:pPr>
          </w:p>
        </w:tc>
        <w:tc>
          <w:tcPr>
            <w:tcW w:w="1860" w:type="dxa"/>
            <w:gridSpan w:val="2"/>
            <w:vMerge w:val="restart"/>
            <w:vAlign w:val="center"/>
          </w:tcPr>
          <w:p>
            <w:pPr>
              <w:widowControl/>
              <w:jc w:val="left"/>
              <w:rPr>
                <w:kern w:val="0"/>
                <w:szCs w:val="21"/>
              </w:rPr>
            </w:pPr>
            <w:r>
              <w:rPr>
                <w:rFonts w:hint="eastAsia"/>
                <w:kern w:val="0"/>
                <w:szCs w:val="21"/>
              </w:rPr>
              <w:t>绩效目标内容3：</w:t>
            </w:r>
          </w:p>
          <w:p>
            <w:pPr>
              <w:widowControl/>
              <w:jc w:val="left"/>
              <w:rPr>
                <w:kern w:val="0"/>
                <w:szCs w:val="21"/>
              </w:rPr>
            </w:pPr>
            <w:r>
              <w:t>改善民生</w:t>
            </w:r>
          </w:p>
        </w:tc>
        <w:tc>
          <w:tcPr>
            <w:tcW w:w="6497" w:type="dxa"/>
            <w:gridSpan w:val="5"/>
            <w:vAlign w:val="center"/>
          </w:tcPr>
          <w:p>
            <w:r>
              <w:rPr>
                <w:kern w:val="0"/>
                <w:szCs w:val="21"/>
              </w:rPr>
              <w:t>产出指标</w:t>
            </w:r>
            <w:r>
              <w:rPr>
                <w:rFonts w:hint="eastAsia"/>
                <w:kern w:val="0"/>
                <w:szCs w:val="21"/>
              </w:rPr>
              <w:t>：</w:t>
            </w:r>
            <w:r>
              <w:t>1、惠农减负。按照上级文件严格落实好各项惠农补贴政策，按程序将惠农补贴资金发放到位，并</w:t>
            </w:r>
            <w:r>
              <w:rPr>
                <w:rFonts w:hint="eastAsia"/>
              </w:rPr>
              <w:t>将所有惠农补贴资金进行公示</w:t>
            </w:r>
            <w:r>
              <w:t>，</w:t>
            </w:r>
            <w:r>
              <w:rPr>
                <w:rFonts w:hint="eastAsia"/>
              </w:rPr>
              <w:t>确保</w:t>
            </w:r>
            <w:r>
              <w:t>无涉负群访事件发生。</w:t>
            </w:r>
          </w:p>
          <w:p>
            <w:pPr>
              <w:ind w:firstLine="420" w:firstLineChars="200"/>
              <w:rPr>
                <w:kern w:val="0"/>
                <w:szCs w:val="21"/>
              </w:rPr>
            </w:pPr>
            <w:r>
              <w:t>2、</w:t>
            </w:r>
            <w:r>
              <w:rPr>
                <w:rFonts w:hint="eastAsia"/>
                <w:kern w:val="0"/>
                <w:szCs w:val="21"/>
              </w:rPr>
              <w:t>加强村级财务管理，搞好“互联网+监督”工作，认真落实村级账务公开制度，每个季度一次将各村收支情况上传网站，加强对村级账务的监管力度。</w:t>
            </w:r>
          </w:p>
          <w:p>
            <w:pPr>
              <w:ind w:firstLine="420" w:firstLineChars="200"/>
            </w:pPr>
            <w:r>
              <w:t>3、民政工作。救灾救济款发放及时、到位，</w:t>
            </w:r>
            <w:r>
              <w:rPr>
                <w:rFonts w:hint="eastAsia"/>
              </w:rPr>
              <w:t>杜绝</w:t>
            </w:r>
            <w:r>
              <w:t>贪占挪用现象；</w:t>
            </w:r>
            <w:r>
              <w:rPr>
                <w:rFonts w:hint="eastAsia"/>
              </w:rPr>
              <w:t>集中人力物力办好民生实事。认真落实低保政策，做好“动态管理、应保尽保”，积极开展农村低保与社会保障兜底的清理、认定与低保回头看工作。目前全乡现有低保总人口218户415人，发放资金95.5万元，其中低保对象179户302人，发放资金68.4万元；兜底对象36户110人，发放资金17.3万元；五保户18户，发放资金9.8万元。2018年共支付临时救助419人次22.75万元。</w:t>
            </w:r>
          </w:p>
          <w:p>
            <w:pPr>
              <w:ind w:firstLine="420" w:firstLineChars="200"/>
            </w:pPr>
            <w:r>
              <w:t>4、</w:t>
            </w:r>
            <w:r>
              <w:rPr>
                <w:rFonts w:hint="eastAsia"/>
              </w:rPr>
              <w:t>社保惠民工作。加快社会保障和社会救助体系建设，扩大社会保险覆盖面，农村两保征缴超额完成任务。全年超额完成了城乡居民养老保险征缴任务，自主缴费率达100%；农村居民医保缴费完成100%。</w:t>
            </w:r>
          </w:p>
          <w:p>
            <w:pPr>
              <w:ind w:firstLine="420"/>
            </w:pPr>
            <w:r>
              <w:rPr>
                <w:rFonts w:hint="eastAsia"/>
              </w:rPr>
              <w:t>同时推进创业就业工程，坚持做好职业技能培训，提升劳动者就业创业能力，根据扶贫政策对外出务工的贫困户给予一定的交通补助。</w:t>
            </w:r>
          </w:p>
          <w:p>
            <w:pPr>
              <w:ind w:firstLine="420" w:firstLineChars="200"/>
            </w:pPr>
            <w:r>
              <w:t>5、教育发展。</w:t>
            </w:r>
            <w:r>
              <w:rPr>
                <w:rFonts w:hint="eastAsia"/>
                <w:kern w:val="0"/>
                <w:szCs w:val="21"/>
              </w:rPr>
              <w:t>坚持教育优先，狠抓控辍保学工作。对乐安学校定期不定期地进行校园安全、校车安全检查，仔细排除安全隐患；开展“关爱留守儿童”活动，对困难学生进行慰问；贫困户教育保障方面，我乡享受过教育助学政策的共计345人，其中教育生活补助288人；享受雨露计划补助45个；享受其他教育资助12人。落实党政议教，班子成员加强对教育工作的会议讨论；实行巡逻制度，治理校园周边环境；巩固两基成果，做好“教育强县”工作。</w:t>
            </w:r>
          </w:p>
          <w:p>
            <w:pPr>
              <w:spacing w:line="560" w:lineRule="exact"/>
              <w:ind w:firstLine="640"/>
            </w:pPr>
            <w:r>
              <w:rPr>
                <w:rFonts w:hint="eastAsia"/>
              </w:rPr>
              <w:t>6、扶贫惠民工程。我乡围绕贫困村退出和贫困户退出要求，加大产业扶贫和金融扶贫力度，狠抓易地扶贫搬迁和危房改造，2018年危房改造完成C级危房改造72户263人，其中建档立卡贫困户54户185人，非贫户18户78人。已全部完工入住。易地扶贫搬迁2018年共完成28户118人，其中集中安置7户34人，分散自建21户84人。已全部完工入住。移民避险搬迁2018年共完成7户27人,其中贫困户2户5人。</w:t>
            </w:r>
          </w:p>
          <w:p>
            <w:pPr>
              <w:widowControl/>
              <w:numPr>
                <w:ilvl w:val="0"/>
                <w:numId w:val="1"/>
              </w:numPr>
              <w:ind w:firstLine="420" w:firstLineChars="200"/>
              <w:jc w:val="left"/>
            </w:pPr>
            <w:r>
              <w:rPr>
                <w:rFonts w:hint="eastAsia"/>
              </w:rPr>
              <w:t>妇女权益保护。积极配合爱德基金等对我乡困难妇女进行的“半边天”送温暖活动，全年开展人口计生宣传活动2次，发放宣传材料2000余份，树立永久性计生公益广告牌12块，书写温馨标语200多条，组织182名妇女做了免费两癌筛查，建立了宣传咨询服务室和热线电话，极大地方便了群众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3" w:type="dxa"/>
            <w:vMerge w:val="continue"/>
            <w:vAlign w:val="center"/>
          </w:tcPr>
          <w:p>
            <w:pPr>
              <w:widowControl/>
              <w:jc w:val="center"/>
              <w:rPr>
                <w:rFonts w:ascii="宋体" w:hAnsi="宋体"/>
                <w:kern w:val="0"/>
                <w:szCs w:val="21"/>
              </w:rPr>
            </w:pPr>
          </w:p>
        </w:tc>
        <w:tc>
          <w:tcPr>
            <w:tcW w:w="1860" w:type="dxa"/>
            <w:gridSpan w:val="2"/>
            <w:vMerge w:val="continue"/>
            <w:vAlign w:val="center"/>
          </w:tcPr>
          <w:p>
            <w:pPr>
              <w:widowControl/>
              <w:jc w:val="left"/>
              <w:rPr>
                <w:kern w:val="0"/>
                <w:szCs w:val="21"/>
              </w:rPr>
            </w:pPr>
          </w:p>
        </w:tc>
        <w:tc>
          <w:tcPr>
            <w:tcW w:w="6497" w:type="dxa"/>
            <w:gridSpan w:val="5"/>
            <w:vAlign w:val="center"/>
          </w:tcPr>
          <w:p>
            <w:pPr>
              <w:widowControl/>
              <w:jc w:val="left"/>
              <w:rPr>
                <w:kern w:val="0"/>
                <w:szCs w:val="21"/>
              </w:rPr>
            </w:pPr>
            <w:r>
              <w:rPr>
                <w:kern w:val="0"/>
                <w:szCs w:val="21"/>
              </w:rPr>
              <w:t>效益指标</w:t>
            </w:r>
            <w:r>
              <w:rPr>
                <w:rFonts w:hint="eastAsia"/>
                <w:kern w:val="0"/>
                <w:szCs w:val="21"/>
              </w:rPr>
              <w:t>：</w:t>
            </w:r>
          </w:p>
          <w:p>
            <w:pPr>
              <w:widowControl/>
              <w:ind w:firstLine="420" w:firstLineChars="200"/>
              <w:jc w:val="left"/>
              <w:rPr>
                <w:kern w:val="0"/>
                <w:szCs w:val="21"/>
              </w:rPr>
            </w:pPr>
            <w:r>
              <w:rPr>
                <w:rFonts w:hint="eastAsia"/>
                <w:kern w:val="0"/>
                <w:szCs w:val="21"/>
              </w:rPr>
              <w:t>1、社会效益指标：各项惠农政策的贯彻落实，确保了更多群众共享改革发展成果。</w:t>
            </w:r>
          </w:p>
          <w:p>
            <w:pPr>
              <w:widowControl/>
              <w:numPr>
                <w:ilvl w:val="0"/>
                <w:numId w:val="2"/>
              </w:numPr>
              <w:ind w:left="464" w:leftChars="221"/>
              <w:jc w:val="left"/>
              <w:rPr>
                <w:kern w:val="0"/>
                <w:szCs w:val="21"/>
              </w:rPr>
            </w:pPr>
            <w:r>
              <w:rPr>
                <w:rFonts w:hint="eastAsia"/>
                <w:kern w:val="0"/>
                <w:szCs w:val="21"/>
              </w:rPr>
              <w:t>社会效益指标：兜底扶贫，保障民生，促进社会和谐发展。</w:t>
            </w:r>
          </w:p>
          <w:p>
            <w:pPr>
              <w:widowControl/>
              <w:numPr>
                <w:ilvl w:val="0"/>
                <w:numId w:val="2"/>
              </w:numPr>
              <w:ind w:left="464" w:leftChars="221"/>
              <w:jc w:val="left"/>
              <w:rPr>
                <w:kern w:val="0"/>
                <w:szCs w:val="21"/>
              </w:rPr>
            </w:pPr>
            <w:r>
              <w:rPr>
                <w:rFonts w:hint="eastAsia"/>
                <w:kern w:val="0"/>
                <w:szCs w:val="21"/>
              </w:rPr>
              <w:t>社会效益指标：大力发展教育事业，加大教育投入，加快人才培养，不断提高人口素质。</w:t>
            </w:r>
          </w:p>
          <w:p>
            <w:pPr>
              <w:widowControl/>
              <w:ind w:firstLine="420" w:firstLineChars="200"/>
              <w:jc w:val="left"/>
              <w:rPr>
                <w:kern w:val="0"/>
                <w:szCs w:val="21"/>
              </w:rPr>
            </w:pPr>
            <w:r>
              <w:rPr>
                <w:rFonts w:hint="eastAsia"/>
                <w:kern w:val="0"/>
                <w:szCs w:val="21"/>
              </w:rPr>
              <w:t>4、社会效益指标：农村危房改造工作深化推进，民政保障体系进一步健全。</w:t>
            </w:r>
          </w:p>
          <w:p>
            <w:pPr>
              <w:widowControl/>
              <w:ind w:firstLine="420" w:firstLineChars="200"/>
              <w:jc w:val="left"/>
              <w:rPr>
                <w:kern w:val="0"/>
                <w:szCs w:val="21"/>
              </w:rPr>
            </w:pPr>
            <w:r>
              <w:rPr>
                <w:rFonts w:hint="eastAsia"/>
                <w:kern w:val="0"/>
                <w:szCs w:val="21"/>
              </w:rPr>
              <w:t>5、社会效益指标：</w:t>
            </w:r>
            <w:r>
              <w:t>城乡养老保险工作</w:t>
            </w:r>
            <w:r>
              <w:rPr>
                <w:rFonts w:hint="eastAsia"/>
              </w:rPr>
              <w:t>和农合工作积极推广，致力保障农村群众养老、医疗权益。</w:t>
            </w:r>
          </w:p>
          <w:p>
            <w:pPr>
              <w:widowControl/>
              <w:ind w:firstLine="420" w:firstLineChars="200"/>
              <w:jc w:val="left"/>
              <w:rPr>
                <w:kern w:val="0"/>
                <w:szCs w:val="21"/>
              </w:rPr>
            </w:pPr>
            <w:r>
              <w:rPr>
                <w:rFonts w:hint="eastAsia"/>
                <w:kern w:val="0"/>
                <w:szCs w:val="21"/>
              </w:rPr>
              <w:t>6、可持续影响指标：社会广大群众对改善民生工作认识、理解和支持，民生改善工作有重大突破，并建立完善配套长效机制，实现改善民生工作长远发展。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283" w:type="dxa"/>
            <w:vMerge w:val="continue"/>
            <w:vAlign w:val="center"/>
          </w:tcPr>
          <w:p>
            <w:pPr>
              <w:widowControl/>
              <w:jc w:val="center"/>
              <w:rPr>
                <w:rFonts w:ascii="宋体" w:hAnsi="宋体"/>
                <w:kern w:val="0"/>
                <w:szCs w:val="21"/>
              </w:rPr>
            </w:pPr>
          </w:p>
        </w:tc>
        <w:tc>
          <w:tcPr>
            <w:tcW w:w="1860" w:type="dxa"/>
            <w:gridSpan w:val="2"/>
            <w:vMerge w:val="restart"/>
            <w:vAlign w:val="center"/>
          </w:tcPr>
          <w:p>
            <w:pPr>
              <w:widowControl/>
              <w:jc w:val="left"/>
              <w:rPr>
                <w:kern w:val="0"/>
                <w:szCs w:val="21"/>
              </w:rPr>
            </w:pPr>
            <w:r>
              <w:rPr>
                <w:rFonts w:hint="eastAsia"/>
                <w:kern w:val="0"/>
                <w:szCs w:val="21"/>
              </w:rPr>
              <w:t>绩效目标内容4：</w:t>
            </w:r>
          </w:p>
          <w:p>
            <w:pPr>
              <w:widowControl/>
              <w:jc w:val="left"/>
              <w:rPr>
                <w:kern w:val="0"/>
                <w:szCs w:val="21"/>
              </w:rPr>
            </w:pPr>
            <w:r>
              <w:t>社会管理</w:t>
            </w:r>
          </w:p>
        </w:tc>
        <w:tc>
          <w:tcPr>
            <w:tcW w:w="6497" w:type="dxa"/>
            <w:gridSpan w:val="5"/>
            <w:vAlign w:val="center"/>
          </w:tcPr>
          <w:p>
            <w:pPr>
              <w:rPr>
                <w:kern w:val="0"/>
                <w:szCs w:val="21"/>
              </w:rPr>
            </w:pPr>
            <w:r>
              <w:rPr>
                <w:kern w:val="0"/>
                <w:szCs w:val="21"/>
              </w:rPr>
              <w:t>产出指标</w:t>
            </w:r>
            <w:r>
              <w:rPr>
                <w:rFonts w:hint="eastAsia"/>
                <w:kern w:val="0"/>
                <w:szCs w:val="21"/>
              </w:rPr>
              <w:t>：</w:t>
            </w:r>
          </w:p>
          <w:p>
            <w:pPr>
              <w:ind w:firstLine="420" w:firstLineChars="200"/>
            </w:pPr>
            <w:r>
              <w:t>1、人大工作。人大主席组织开展人大日常工作</w:t>
            </w:r>
            <w:r>
              <w:rPr>
                <w:rFonts w:hint="eastAsia"/>
              </w:rPr>
              <w:t>，开展乡镇人大代表学习视察调研工作；乡人大代表联系群众工作办公室认真办理乡人大代表建议批评和意见，通过分解和督办，做到代表建议意见答复率100%，满意率90%以上。</w:t>
            </w:r>
          </w:p>
          <w:p>
            <w:pPr>
              <w:ind w:firstLine="420" w:firstLineChars="200"/>
            </w:pPr>
            <w:r>
              <w:t>2、政务公开。</w:t>
            </w:r>
            <w:r>
              <w:rPr>
                <w:rFonts w:hint="eastAsia"/>
              </w:rPr>
              <w:t>及时</w:t>
            </w:r>
            <w:r>
              <w:t>在政府门户网站上更新政务信息，公开办事程序及流程，做到制度上墙，规范有序</w:t>
            </w:r>
            <w:r>
              <w:rPr>
                <w:rFonts w:hint="eastAsia"/>
              </w:rPr>
              <w:t>，将政务信息全面公开</w:t>
            </w:r>
            <w:r>
              <w:t>；公开站所政务平台，办事指南、收费公示栏，并及时更新内容；</w:t>
            </w:r>
            <w:r>
              <w:rPr>
                <w:rFonts w:hint="eastAsia"/>
              </w:rPr>
              <w:t>及时在</w:t>
            </w:r>
            <w:r>
              <w:t>“</w:t>
            </w:r>
            <w:r>
              <w:rPr>
                <w:rFonts w:hint="eastAsia"/>
              </w:rPr>
              <w:t>互联网+监督</w:t>
            </w:r>
            <w:r>
              <w:t>”对村级财务进行公开。</w:t>
            </w:r>
          </w:p>
          <w:p>
            <w:pPr>
              <w:ind w:firstLine="420"/>
            </w:pPr>
            <w:r>
              <w:t>3、信访维稳。</w:t>
            </w:r>
            <w:r>
              <w:rPr>
                <w:rFonts w:hint="eastAsia"/>
              </w:rPr>
              <w:t>成立了由乡纪委、扶贫办、司法所组成的涉贫领域信访调查小组，</w:t>
            </w:r>
            <w:r>
              <w:t>全年分时段、重点区域进行巡逻，增加群众的安全感</w:t>
            </w:r>
            <w:r>
              <w:rPr>
                <w:rFonts w:hint="eastAsia"/>
              </w:rPr>
              <w:t>；</w:t>
            </w:r>
            <w:r>
              <w:rPr>
                <w:rFonts w:hint="eastAsia"/>
                <w:kern w:val="0"/>
                <w:szCs w:val="21"/>
              </w:rPr>
              <w:t>加强组织领导，完善工作流程，及时收集各类信访问题；突出问题，做好个案处理工作，对重点信访对象建立台账；建立领导接待日制度，将农历逢四、九的日子定为信访接待日，乡领导班子成员轮流值班接待来访群众，对来访群众提出的问题尽量当场解决，符合政策的责令有关部门在3个工作日内予以办理。</w:t>
            </w:r>
          </w:p>
          <w:p>
            <w:pPr>
              <w:ind w:firstLine="420" w:firstLineChars="200"/>
            </w:pPr>
            <w:r>
              <w:rPr>
                <w:rFonts w:hint="eastAsia"/>
              </w:rPr>
              <w:t>目前，我乡曾经到省、市、县反映评选贫困户、低保户不公平等扶贫领域信访有9人，主要牵涉中心村（4人）大团村（2人）天堂村(3人)，目前已全部办结，乡主要领导、包村领导对这些重点户进行了全覆盖走访，上户做政策宣传和情绪疏导，详细了解其家庭情况和反映的问题，在基本符合政策和条件的前提下，与有关部门对接，帮助解决诉求；不符合政策且家庭确实存在实际困难的情况下，予以从民政临时救助帮助解决生活困难。</w:t>
            </w:r>
          </w:p>
          <w:p>
            <w:pPr>
              <w:ind w:firstLine="420"/>
              <w:rPr>
                <w:kern w:val="0"/>
                <w:szCs w:val="21"/>
              </w:rPr>
            </w:pPr>
            <w:r>
              <w:t>4、</w:t>
            </w:r>
            <w:r>
              <w:rPr>
                <w:rFonts w:hint="eastAsia"/>
              </w:rPr>
              <w:t>安全工作。我乡把安全生产工作列为全年工作目标考核的重要内容，实行安全生产一票否决，通过落实“一岗双责”，广泛开展安全生产宣传，将安全生产各项基础工作落实到位，全年没有发生一般、较大、重大安全生产事故；同时加大环保监管力度，成立了乐安铺乡高能耗高污染整治工作领导小组，高度重视节能减排工作；进一步加大植树造林和天然林封育保护的工作力度，不断改善我乡生态环境，全力开展“落实企业安全生产主体责任年”、“强执法、防事故”及“秋季攻势”活动，积极开展农村道路交通安全综合整治工作，共签订责任状58份，发放宣传单2000多份，在S221及省道1805沿线安装永久性宣传牌20块，悬挂安全宣传横幅30幅，同时安全宣传报到及时，我乡共发表安全生产相关报道26篇，其中市级26篇。先后对电站、烟花爆竹批发公司、烟花爆竹专卖店、木材加工企业、门店餐馆等21家生产经营单位进行安全检查，共组织集中执法行动28次，排查发现隐患28处，下达整改指令书17份，已整改到位26处。全年没有发生较大以上生产安全事故，确保了安全生产形势持续稳定。组织联合执法对校车、校区周边环境安全大排查，确保学生就学安全；加强汛期防范工作，及时预警，细致排查，确保平稳度过汛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83" w:type="dxa"/>
            <w:vMerge w:val="continue"/>
            <w:vAlign w:val="center"/>
          </w:tcPr>
          <w:p>
            <w:pPr>
              <w:widowControl/>
              <w:jc w:val="center"/>
              <w:rPr>
                <w:rFonts w:ascii="宋体" w:hAnsi="宋体"/>
                <w:kern w:val="0"/>
                <w:szCs w:val="21"/>
              </w:rPr>
            </w:pPr>
          </w:p>
        </w:tc>
        <w:tc>
          <w:tcPr>
            <w:tcW w:w="1860" w:type="dxa"/>
            <w:gridSpan w:val="2"/>
            <w:vMerge w:val="continue"/>
            <w:vAlign w:val="center"/>
          </w:tcPr>
          <w:p>
            <w:pPr>
              <w:widowControl/>
              <w:jc w:val="left"/>
              <w:rPr>
                <w:kern w:val="0"/>
                <w:szCs w:val="21"/>
              </w:rPr>
            </w:pPr>
          </w:p>
        </w:tc>
        <w:tc>
          <w:tcPr>
            <w:tcW w:w="6497" w:type="dxa"/>
            <w:gridSpan w:val="5"/>
            <w:vAlign w:val="center"/>
          </w:tcPr>
          <w:p>
            <w:pPr>
              <w:widowControl/>
              <w:jc w:val="left"/>
              <w:rPr>
                <w:kern w:val="0"/>
                <w:szCs w:val="21"/>
              </w:rPr>
            </w:pPr>
            <w:r>
              <w:rPr>
                <w:kern w:val="0"/>
                <w:szCs w:val="21"/>
              </w:rPr>
              <w:t>效益指标</w:t>
            </w:r>
            <w:r>
              <w:rPr>
                <w:rFonts w:hint="eastAsia"/>
                <w:kern w:val="0"/>
                <w:szCs w:val="21"/>
              </w:rPr>
              <w:t>：</w:t>
            </w:r>
          </w:p>
          <w:p>
            <w:pPr>
              <w:widowControl/>
              <w:jc w:val="left"/>
              <w:rPr>
                <w:kern w:val="0"/>
                <w:szCs w:val="21"/>
              </w:rPr>
            </w:pPr>
            <w:r>
              <w:rPr>
                <w:rFonts w:hint="eastAsia"/>
                <w:kern w:val="0"/>
                <w:szCs w:val="21"/>
              </w:rPr>
              <w:t>1、社会效益指标：政府各职能部门工作的开展维护了社会秩序、保障了公民的合法权利、营造了良好的社会氛围、切实为百姓办了实事。</w:t>
            </w:r>
          </w:p>
          <w:p>
            <w:pPr>
              <w:widowControl/>
              <w:jc w:val="left"/>
              <w:rPr>
                <w:kern w:val="0"/>
                <w:szCs w:val="21"/>
              </w:rPr>
            </w:pPr>
            <w:r>
              <w:rPr>
                <w:rFonts w:hint="eastAsia"/>
                <w:kern w:val="0"/>
                <w:szCs w:val="21"/>
              </w:rPr>
              <w:t>2、社会效益指标：加强社会管理维护了社会的稳定，营造了良好的社会秩序。</w:t>
            </w:r>
          </w:p>
          <w:p>
            <w:pPr>
              <w:widowControl/>
              <w:jc w:val="left"/>
              <w:rPr>
                <w:kern w:val="0"/>
                <w:szCs w:val="21"/>
              </w:rPr>
            </w:pPr>
            <w:r>
              <w:rPr>
                <w:rFonts w:hint="eastAsia"/>
                <w:kern w:val="0"/>
                <w:szCs w:val="21"/>
              </w:rPr>
              <w:t>3、社会效益指标：各类信访事件明显下降，人民群众全面支持政府工作及地方经济和社会发展。</w:t>
            </w:r>
          </w:p>
          <w:p>
            <w:pPr>
              <w:widowControl/>
              <w:jc w:val="left"/>
              <w:rPr>
                <w:kern w:val="0"/>
                <w:szCs w:val="21"/>
              </w:rPr>
            </w:pPr>
            <w:r>
              <w:rPr>
                <w:rFonts w:hint="eastAsia"/>
                <w:kern w:val="0"/>
                <w:szCs w:val="21"/>
              </w:rPr>
              <w:t>4、可持续影响指标：搭建阳光政务平台，推进社会管理体系的长效运行。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83" w:type="dxa"/>
            <w:vMerge w:val="continue"/>
            <w:vAlign w:val="center"/>
          </w:tcPr>
          <w:p>
            <w:pPr>
              <w:widowControl/>
              <w:jc w:val="center"/>
              <w:rPr>
                <w:rFonts w:ascii="宋体" w:hAnsi="宋体"/>
                <w:kern w:val="0"/>
                <w:szCs w:val="21"/>
              </w:rPr>
            </w:pPr>
          </w:p>
        </w:tc>
        <w:tc>
          <w:tcPr>
            <w:tcW w:w="1860" w:type="dxa"/>
            <w:gridSpan w:val="2"/>
            <w:vMerge w:val="restart"/>
            <w:vAlign w:val="center"/>
          </w:tcPr>
          <w:p>
            <w:pPr>
              <w:widowControl/>
              <w:jc w:val="left"/>
              <w:rPr>
                <w:kern w:val="0"/>
                <w:szCs w:val="21"/>
              </w:rPr>
            </w:pPr>
            <w:r>
              <w:rPr>
                <w:rFonts w:hint="eastAsia"/>
                <w:kern w:val="0"/>
                <w:szCs w:val="21"/>
              </w:rPr>
              <w:t>绩效目标内容5：</w:t>
            </w:r>
          </w:p>
          <w:p>
            <w:pPr>
              <w:widowControl/>
              <w:jc w:val="left"/>
              <w:rPr>
                <w:kern w:val="0"/>
                <w:szCs w:val="21"/>
              </w:rPr>
            </w:pPr>
            <w:r>
              <w:t>文化</w:t>
            </w:r>
            <w:r>
              <w:rPr>
                <w:rFonts w:hint="eastAsia"/>
              </w:rPr>
              <w:t>建设</w:t>
            </w:r>
          </w:p>
        </w:tc>
        <w:tc>
          <w:tcPr>
            <w:tcW w:w="6497" w:type="dxa"/>
            <w:gridSpan w:val="5"/>
            <w:vAlign w:val="center"/>
          </w:tcPr>
          <w:p>
            <w:pPr>
              <w:widowControl/>
              <w:jc w:val="left"/>
              <w:rPr>
                <w:kern w:val="0"/>
                <w:szCs w:val="21"/>
              </w:rPr>
            </w:pPr>
            <w:r>
              <w:rPr>
                <w:kern w:val="0"/>
                <w:szCs w:val="21"/>
              </w:rPr>
              <w:t>产出指标</w:t>
            </w:r>
            <w:r>
              <w:rPr>
                <w:rFonts w:hint="eastAsia"/>
                <w:kern w:val="0"/>
                <w:szCs w:val="21"/>
              </w:rPr>
              <w:t>：</w:t>
            </w:r>
          </w:p>
          <w:p>
            <w:pPr>
              <w:ind w:firstLine="420" w:firstLineChars="200"/>
            </w:pPr>
            <w:r>
              <w:t>1、</w:t>
            </w:r>
            <w:r>
              <w:rPr>
                <w:rFonts w:hint="eastAsia"/>
              </w:rPr>
              <w:t>按时按质完成了户户通、村村响工作任务，全乡8个村每天准时播放3次以上。在防汛抗旱、森林防火高峰期等特防期间，发挥了巨大作用。在文化扶贫方面，一是按省文化厅“七个一”的标准实现公共文化服务全覆盖，二是今年初投入15万余元， 新建了一条具有苗侗特色的少数民族文化宣传长廊，三是积极发挥文化志愿者的职能，培训了一支老年乐队，全力打造了大团侗琵琶演艺队，配合县文化馆到各村送戏下乡8场次，全年发放扶贫惠农资料、学习书籍三万多份，为我乡实现高质量脱贫奠定坚实的基础。</w:t>
            </w:r>
          </w:p>
          <w:p>
            <w:pPr>
              <w:widowControl/>
              <w:ind w:firstLine="420" w:firstLineChars="200"/>
              <w:jc w:val="left"/>
            </w:pPr>
            <w:r>
              <w:rPr>
                <w:rFonts w:hint="eastAsia"/>
              </w:rPr>
              <w:t>广泛开展全民健身、节庆文娱、文化下乡活动，深入实施广播村村响、农家书屋等工程。以改善农民生活环境，提高生活质量为目标，加强农村学校、体育设施、幼儿园等公共服务设施建设；确保全乡适龄学生的入学率、巩固率达到100%。</w:t>
            </w:r>
          </w:p>
          <w:p>
            <w:pPr>
              <w:ind w:firstLine="420" w:firstLineChars="200"/>
            </w:pPr>
            <w:r>
              <w:t>2、文化设施标准化建设和免费开放。有室内、室外文化娱乐场地，有效使用面积</w:t>
            </w:r>
            <w:r>
              <w:rPr>
                <w:rFonts w:hint="eastAsia"/>
              </w:rPr>
              <w:t>约1600</w:t>
            </w:r>
            <w:r>
              <w:t>平方米，室内文化</w:t>
            </w:r>
            <w:r>
              <w:rPr>
                <w:rFonts w:hint="eastAsia"/>
              </w:rPr>
              <w:t>室配有电脑、电视机、专业音响设备、投影仪器等</w:t>
            </w:r>
            <w:r>
              <w:t>，</w:t>
            </w:r>
            <w:r>
              <w:rPr>
                <w:rFonts w:hint="eastAsia"/>
              </w:rPr>
              <w:t>投入15万元用于文化站基础设施建设，新建了少数民族文化宣传长廊。</w:t>
            </w:r>
            <w:r>
              <w:t>阅览室</w:t>
            </w:r>
            <w:r>
              <w:rPr>
                <w:rFonts w:hint="eastAsia"/>
              </w:rPr>
              <w:t>新增图书300余册</w:t>
            </w:r>
            <w:r>
              <w:t>达</w:t>
            </w:r>
            <w:r>
              <w:rPr>
                <w:rFonts w:hint="eastAsia"/>
              </w:rPr>
              <w:t>3300</w:t>
            </w:r>
            <w:r>
              <w:t>册</w:t>
            </w:r>
            <w:r>
              <w:rPr>
                <w:rFonts w:hint="eastAsia"/>
              </w:rPr>
              <w:t>，</w:t>
            </w:r>
            <w:r>
              <w:t>文化站每周周一至周五免费开放，乡文化综合站电子阅览室免费对外开放</w:t>
            </w:r>
            <w:r>
              <w:rPr>
                <w:rFonts w:hint="eastAsia"/>
              </w:rPr>
              <w:t>，并对使用情况设台账进行登记</w:t>
            </w:r>
            <w:r>
              <w:t>。</w:t>
            </w:r>
          </w:p>
          <w:p>
            <w:pPr>
              <w:ind w:firstLine="420"/>
            </w:pPr>
            <w:r>
              <w:t>3、传承和弘扬民俗文化。</w:t>
            </w:r>
            <w:r>
              <w:rPr>
                <w:rFonts w:hint="eastAsia"/>
              </w:rPr>
              <w:t>深入挖掘、整理少数民族文化资源，充分利用民间艺术组织和民间艺人资源，组建了侗族风俗表演队和芦笙表演队，编排了多个民族特色浓郁的节目，如竹竿舞斗春牛、唱土地等，获得了游客和群众的一致好评。</w:t>
            </w:r>
          </w:p>
          <w:p>
            <w:pPr>
              <w:ind w:firstLine="420" w:firstLineChars="200"/>
            </w:pPr>
            <w:r>
              <w:t>4、文化遗产保护和文化市场管理。</w:t>
            </w:r>
            <w:r>
              <w:rPr>
                <w:rFonts w:hint="eastAsia"/>
              </w:rPr>
              <w:t>对接县委县政府“神奇绿洲、苗侗风情”品牌建设，引导广大群众通过网络、微信等以自媒体的方式，做好自主宣传，提高侗寨民俗文化影响力。发挥好大团村“湖南第三届最美少数民族特色村镇”、“中国特色少数民族村寨”旅游名片的作用，2018年共投入90万元左右，建设完成大团村上团至下团2公里的游步道；拟投入200万元，修好寨门、风雨桥等标志性建筑，完善停车场、标识系统等旅游配套设施，现已完成中团寨门的建设。继续扩大观光农业种植面积，在2018年3月圆满举办了“绥宁县第一届油菜花节”，获得了省市县媒体的一致关注与好评，促进了乐安铺乡乡村旅游经济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83" w:type="dxa"/>
            <w:vMerge w:val="continue"/>
            <w:vAlign w:val="center"/>
          </w:tcPr>
          <w:p>
            <w:pPr>
              <w:widowControl/>
              <w:jc w:val="center"/>
              <w:rPr>
                <w:rFonts w:ascii="宋体" w:hAnsi="宋体"/>
                <w:kern w:val="0"/>
                <w:szCs w:val="21"/>
              </w:rPr>
            </w:pPr>
          </w:p>
        </w:tc>
        <w:tc>
          <w:tcPr>
            <w:tcW w:w="1860" w:type="dxa"/>
            <w:gridSpan w:val="2"/>
            <w:vMerge w:val="continue"/>
            <w:vAlign w:val="center"/>
          </w:tcPr>
          <w:p>
            <w:pPr>
              <w:widowControl/>
              <w:jc w:val="left"/>
              <w:rPr>
                <w:kern w:val="0"/>
                <w:szCs w:val="21"/>
              </w:rPr>
            </w:pPr>
          </w:p>
        </w:tc>
        <w:tc>
          <w:tcPr>
            <w:tcW w:w="6497" w:type="dxa"/>
            <w:gridSpan w:val="5"/>
            <w:vAlign w:val="center"/>
          </w:tcPr>
          <w:p>
            <w:pPr>
              <w:widowControl/>
              <w:jc w:val="left"/>
              <w:rPr>
                <w:kern w:val="0"/>
                <w:szCs w:val="21"/>
              </w:rPr>
            </w:pPr>
            <w:r>
              <w:rPr>
                <w:kern w:val="0"/>
                <w:szCs w:val="21"/>
              </w:rPr>
              <w:t>效益指标</w:t>
            </w:r>
            <w:r>
              <w:rPr>
                <w:rFonts w:hint="eastAsia"/>
                <w:kern w:val="0"/>
                <w:szCs w:val="21"/>
              </w:rPr>
              <w:t>：</w:t>
            </w:r>
          </w:p>
          <w:p>
            <w:pPr>
              <w:widowControl/>
              <w:ind w:firstLine="420" w:firstLineChars="200"/>
              <w:jc w:val="left"/>
              <w:rPr>
                <w:kern w:val="0"/>
                <w:szCs w:val="21"/>
              </w:rPr>
            </w:pPr>
            <w:r>
              <w:rPr>
                <w:rFonts w:hint="eastAsia"/>
                <w:kern w:val="0"/>
                <w:szCs w:val="21"/>
              </w:rPr>
              <w:t>1、社会效益：大力发展文化事业，丰富人民群众文化生活，打造文明乡镇。</w:t>
            </w:r>
          </w:p>
          <w:p>
            <w:pPr>
              <w:widowControl/>
              <w:ind w:firstLine="420" w:firstLineChars="200"/>
              <w:jc w:val="left"/>
              <w:rPr>
                <w:kern w:val="0"/>
                <w:szCs w:val="21"/>
              </w:rPr>
            </w:pPr>
            <w:r>
              <w:rPr>
                <w:rFonts w:hint="eastAsia"/>
                <w:kern w:val="0"/>
                <w:szCs w:val="21"/>
              </w:rPr>
              <w:t>2、社会效益：提升农民生产生活技能，方便人民群众生产生活。</w:t>
            </w:r>
          </w:p>
          <w:p>
            <w:pPr>
              <w:widowControl/>
              <w:ind w:firstLine="420" w:firstLineChars="200"/>
              <w:jc w:val="left"/>
              <w:rPr>
                <w:kern w:val="0"/>
                <w:szCs w:val="21"/>
              </w:rPr>
            </w:pPr>
            <w:r>
              <w:rPr>
                <w:rFonts w:hint="eastAsia"/>
                <w:kern w:val="0"/>
                <w:szCs w:val="21"/>
              </w:rPr>
              <w:t>3、可持续影响指标：实现文化建设“人员、基础、内容”进一步拓展，深化</w:t>
            </w:r>
            <w:r>
              <w:t>传承和弘扬民俗文化</w:t>
            </w:r>
            <w:r>
              <w:rPr>
                <w:rFonts w:hint="eastAsia"/>
              </w:rPr>
              <w:t>，</w:t>
            </w:r>
            <w:r>
              <w:rPr>
                <w:rFonts w:hint="eastAsia"/>
                <w:kern w:val="0"/>
                <w:szCs w:val="21"/>
              </w:rPr>
              <w:t>打造特色乐安苗乡文化品牌。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283" w:type="dxa"/>
            <w:vMerge w:val="continue"/>
            <w:vAlign w:val="center"/>
          </w:tcPr>
          <w:p>
            <w:pPr>
              <w:widowControl/>
              <w:jc w:val="center"/>
              <w:rPr>
                <w:rFonts w:ascii="宋体" w:hAnsi="宋体"/>
                <w:kern w:val="0"/>
                <w:szCs w:val="21"/>
              </w:rPr>
            </w:pPr>
          </w:p>
        </w:tc>
        <w:tc>
          <w:tcPr>
            <w:tcW w:w="1860" w:type="dxa"/>
            <w:gridSpan w:val="2"/>
            <w:vMerge w:val="restart"/>
            <w:vAlign w:val="center"/>
          </w:tcPr>
          <w:p>
            <w:pPr>
              <w:widowControl/>
              <w:jc w:val="left"/>
              <w:rPr>
                <w:kern w:val="0"/>
                <w:szCs w:val="21"/>
              </w:rPr>
            </w:pPr>
            <w:r>
              <w:rPr>
                <w:rFonts w:hint="eastAsia"/>
                <w:kern w:val="0"/>
                <w:szCs w:val="21"/>
              </w:rPr>
              <w:t>绩效目标内容6：</w:t>
            </w:r>
          </w:p>
          <w:p>
            <w:r>
              <w:t>生态</w:t>
            </w:r>
            <w:r>
              <w:rPr>
                <w:rFonts w:hint="eastAsia"/>
              </w:rPr>
              <w:t>环境建设</w:t>
            </w:r>
          </w:p>
          <w:p>
            <w:pPr>
              <w:widowControl/>
              <w:jc w:val="left"/>
              <w:rPr>
                <w:kern w:val="0"/>
                <w:szCs w:val="21"/>
              </w:rPr>
            </w:pPr>
          </w:p>
        </w:tc>
        <w:tc>
          <w:tcPr>
            <w:tcW w:w="6497" w:type="dxa"/>
            <w:gridSpan w:val="5"/>
            <w:vAlign w:val="center"/>
          </w:tcPr>
          <w:p>
            <w:pPr>
              <w:rPr>
                <w:kern w:val="0"/>
                <w:szCs w:val="21"/>
              </w:rPr>
            </w:pPr>
            <w:r>
              <w:rPr>
                <w:kern w:val="0"/>
                <w:szCs w:val="21"/>
              </w:rPr>
              <w:t>产出指标</w:t>
            </w:r>
            <w:r>
              <w:rPr>
                <w:rFonts w:hint="eastAsia"/>
                <w:kern w:val="0"/>
                <w:szCs w:val="21"/>
              </w:rPr>
              <w:t>：</w:t>
            </w:r>
          </w:p>
          <w:p>
            <w:pPr>
              <w:ind w:firstLine="420" w:firstLineChars="200"/>
            </w:pPr>
            <w:r>
              <w:t>1、资源培育。</w:t>
            </w:r>
            <w:r>
              <w:rPr>
                <w:rFonts w:hint="eastAsia"/>
              </w:rPr>
              <w:t>对接县委县政府提出的生态立县要求，开展城乡绿化行动，加大植树造林力度，积极开展义务植树造林，同时要严抓森林防火工作，杜绝森林火灾发生，确保“水更绿、山更青”。</w:t>
            </w:r>
          </w:p>
          <w:p>
            <w:pPr>
              <w:ind w:firstLine="420" w:firstLineChars="200"/>
            </w:pPr>
            <w:r>
              <w:t>2、林政管理。</w:t>
            </w:r>
            <w:r>
              <w:rPr>
                <w:rFonts w:hint="eastAsia"/>
              </w:rPr>
              <w:t>年初分解、落实、公示木材生产计划到各村，签订林政管理责任状，加强管理，杜绝滥砍滥伐，与县林业局、林业公安分局联合对全乡无证木材加工、盗伐、滥伐、无证运输、收购竹木行为进行了整顿，严格了税费征收。</w:t>
            </w:r>
          </w:p>
          <w:p>
            <w:pPr>
              <w:ind w:firstLine="420" w:firstLineChars="200"/>
            </w:pPr>
            <w:r>
              <w:t>3、森林防火。</w:t>
            </w:r>
            <w:r>
              <w:rPr>
                <w:rFonts w:hint="eastAsia"/>
              </w:rPr>
              <w:t>乡村两级成立了300多人组成的森林扑火队，制定了《乐安铺乡山火扑救应急预案》；进一步加大森林防火宣传力度，重点防火期内森林防火指挥部实行24小时值班制度。全年先后4次下发防火通知，共召开全乡防火专题会议 3次，悬挂宣传标语 53 条、张贴宣传标语1350 条， 累计发放防火宣传资料 13000余份，出动森林防火宣传车26次， 配备了柴刀40把，打火鞭100把，购买扑火服装46套，共投入森林防火资金2.4万余元，进一步加大森林防火宣传力度，实现森林防火禁令到村入户。对2018年初发生的三起森林火灾事故进行了追责，落实了生态护林员巡查制度。</w:t>
            </w:r>
          </w:p>
          <w:p>
            <w:pPr>
              <w:widowControl/>
              <w:ind w:firstLine="420" w:firstLineChars="200"/>
              <w:jc w:val="left"/>
            </w:pPr>
            <w:r>
              <w:t>4、环境保护。</w:t>
            </w:r>
            <w:r>
              <w:rPr>
                <w:rFonts w:hint="eastAsia"/>
              </w:rPr>
              <w:t>开展《环保法》宣传活动，张贴宣传标语20条，坚决查处、杜绝高污染企业，做到无“五小”企业违法生产、全乡没有发生一起环境污染事件，没有焚烧秸秆现象，也没有环境污染上访事件发生。</w:t>
            </w:r>
          </w:p>
          <w:p>
            <w:pPr>
              <w:widowControl/>
              <w:ind w:firstLine="420" w:firstLineChars="200"/>
              <w:jc w:val="left"/>
              <w:rPr>
                <w:kern w:val="0"/>
                <w:szCs w:val="21"/>
              </w:rPr>
            </w:pPr>
            <w:r>
              <w:t>5、</w:t>
            </w:r>
            <w:r>
              <w:rPr>
                <w:rFonts w:hint="eastAsia"/>
              </w:rPr>
              <w:t>农村</w:t>
            </w:r>
            <w:r>
              <w:t>环境整治行动。</w:t>
            </w:r>
            <w:r>
              <w:rPr>
                <w:rFonts w:hint="eastAsia"/>
              </w:rPr>
              <w:t>把农村环境卫生整治工作作为一件民生大事来抓，加大投入力度，建立健全奖惩机制，开展城乡环境整治行动，加强对垃圾的无害处理，重点处理生活和畜牧养殖垃圾，通过评比、考核、奖励等一系列措施，改善农村环境，彻底解决农村环境卫生脏、乱、差问题，实现农村环境卫生管理的常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283" w:type="dxa"/>
            <w:vMerge w:val="continue"/>
            <w:vAlign w:val="center"/>
          </w:tcPr>
          <w:p>
            <w:pPr>
              <w:widowControl/>
              <w:jc w:val="center"/>
              <w:rPr>
                <w:rFonts w:ascii="宋体" w:hAnsi="宋体"/>
                <w:kern w:val="0"/>
                <w:szCs w:val="21"/>
              </w:rPr>
            </w:pPr>
          </w:p>
        </w:tc>
        <w:tc>
          <w:tcPr>
            <w:tcW w:w="1860" w:type="dxa"/>
            <w:gridSpan w:val="2"/>
            <w:vMerge w:val="continue"/>
            <w:vAlign w:val="center"/>
          </w:tcPr>
          <w:p>
            <w:pPr>
              <w:widowControl/>
              <w:jc w:val="left"/>
              <w:rPr>
                <w:kern w:val="0"/>
                <w:szCs w:val="21"/>
              </w:rPr>
            </w:pPr>
          </w:p>
        </w:tc>
        <w:tc>
          <w:tcPr>
            <w:tcW w:w="6497" w:type="dxa"/>
            <w:gridSpan w:val="5"/>
            <w:vAlign w:val="center"/>
          </w:tcPr>
          <w:p>
            <w:pPr>
              <w:widowControl/>
              <w:jc w:val="left"/>
              <w:rPr>
                <w:kern w:val="0"/>
                <w:szCs w:val="21"/>
              </w:rPr>
            </w:pPr>
            <w:r>
              <w:rPr>
                <w:kern w:val="0"/>
                <w:szCs w:val="21"/>
              </w:rPr>
              <w:t>效益指标</w:t>
            </w:r>
            <w:r>
              <w:rPr>
                <w:rFonts w:hint="eastAsia"/>
                <w:kern w:val="0"/>
                <w:szCs w:val="21"/>
              </w:rPr>
              <w:t>：</w:t>
            </w:r>
          </w:p>
          <w:p>
            <w:pPr>
              <w:widowControl/>
              <w:ind w:firstLine="420" w:firstLineChars="200"/>
              <w:jc w:val="left"/>
              <w:rPr>
                <w:kern w:val="0"/>
                <w:szCs w:val="21"/>
              </w:rPr>
            </w:pPr>
            <w:r>
              <w:rPr>
                <w:rFonts w:hint="eastAsia"/>
                <w:kern w:val="0"/>
                <w:szCs w:val="21"/>
              </w:rPr>
              <w:t>1、可持续影响指标：解决乡村环境“脏、乱、差”问题，塑造村容整治、秩序井然、生态良好、乡村文明的农村新面貌。</w:t>
            </w:r>
          </w:p>
          <w:p>
            <w:pPr>
              <w:widowControl/>
              <w:ind w:firstLine="420" w:firstLineChars="200"/>
              <w:jc w:val="left"/>
              <w:rPr>
                <w:kern w:val="0"/>
                <w:szCs w:val="21"/>
              </w:rPr>
            </w:pPr>
            <w:r>
              <w:rPr>
                <w:rFonts w:hint="eastAsia"/>
                <w:kern w:val="0"/>
                <w:szCs w:val="21"/>
              </w:rPr>
              <w:t>2、生态效益指标：生态环境普及全民参与，营造良好氛围。</w:t>
            </w:r>
          </w:p>
          <w:p>
            <w:pPr>
              <w:widowControl/>
              <w:ind w:firstLine="420" w:firstLineChars="200"/>
              <w:jc w:val="left"/>
              <w:rPr>
                <w:kern w:val="0"/>
                <w:szCs w:val="21"/>
              </w:rPr>
            </w:pPr>
            <w:r>
              <w:rPr>
                <w:rFonts w:hint="eastAsia"/>
                <w:kern w:val="0"/>
                <w:szCs w:val="21"/>
              </w:rPr>
              <w:t>3、社会效益指标：提升全民参与生态环境建设认同感，做到人人爱护环境，保护环境。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283" w:type="dxa"/>
            <w:vMerge w:val="continue"/>
            <w:vAlign w:val="center"/>
          </w:tcPr>
          <w:p>
            <w:pPr>
              <w:widowControl/>
              <w:jc w:val="center"/>
              <w:rPr>
                <w:rFonts w:ascii="宋体" w:hAnsi="宋体"/>
                <w:kern w:val="0"/>
                <w:szCs w:val="21"/>
              </w:rPr>
            </w:pPr>
          </w:p>
        </w:tc>
        <w:tc>
          <w:tcPr>
            <w:tcW w:w="1860" w:type="dxa"/>
            <w:gridSpan w:val="2"/>
            <w:vMerge w:val="restart"/>
            <w:vAlign w:val="center"/>
          </w:tcPr>
          <w:p>
            <w:pPr>
              <w:widowControl/>
              <w:jc w:val="left"/>
              <w:rPr>
                <w:kern w:val="0"/>
                <w:szCs w:val="21"/>
              </w:rPr>
            </w:pPr>
            <w:r>
              <w:rPr>
                <w:rFonts w:hint="eastAsia"/>
                <w:kern w:val="0"/>
                <w:szCs w:val="21"/>
              </w:rPr>
              <w:t>绩效目标内容7：</w:t>
            </w:r>
          </w:p>
          <w:p>
            <w:pPr>
              <w:widowControl/>
              <w:jc w:val="left"/>
              <w:rPr>
                <w:kern w:val="0"/>
                <w:szCs w:val="21"/>
              </w:rPr>
            </w:pPr>
            <w:r>
              <w:t>“底线”工作</w:t>
            </w:r>
          </w:p>
        </w:tc>
        <w:tc>
          <w:tcPr>
            <w:tcW w:w="6497" w:type="dxa"/>
            <w:gridSpan w:val="5"/>
            <w:vAlign w:val="center"/>
          </w:tcPr>
          <w:p>
            <w:pPr>
              <w:rPr>
                <w:kern w:val="0"/>
                <w:szCs w:val="21"/>
              </w:rPr>
            </w:pPr>
            <w:r>
              <w:rPr>
                <w:kern w:val="0"/>
                <w:szCs w:val="21"/>
              </w:rPr>
              <w:t>产出指标</w:t>
            </w:r>
            <w:r>
              <w:rPr>
                <w:rFonts w:hint="eastAsia"/>
                <w:kern w:val="0"/>
                <w:szCs w:val="21"/>
              </w:rPr>
              <w:t>：</w:t>
            </w:r>
          </w:p>
          <w:p>
            <w:pPr>
              <w:ind w:firstLine="420" w:firstLineChars="200"/>
            </w:pPr>
            <w:r>
              <w:t>1、</w:t>
            </w:r>
            <w:r>
              <w:rPr>
                <w:rFonts w:hint="eastAsia"/>
                <w:kern w:val="0"/>
                <w:szCs w:val="21"/>
              </w:rPr>
              <w:t>支持计生中心工作。实施全面二孩政策，突出抓好已婚育龄妇女生殖健康监测、流动人口计划生育管理、计划生育优质服务三个要点，争取进入计划生育优秀乡镇行列。</w:t>
            </w:r>
          </w:p>
          <w:p>
            <w:pPr>
              <w:ind w:firstLine="420" w:firstLineChars="200"/>
            </w:pPr>
            <w:r>
              <w:t>2、财政资金管理。依法依规使用各项资金，</w:t>
            </w:r>
            <w:r>
              <w:rPr>
                <w:rFonts w:hint="eastAsia"/>
              </w:rPr>
              <w:t>建立村级资金使用台账，</w:t>
            </w:r>
            <w:r>
              <w:t>接受县</w:t>
            </w:r>
            <w:r>
              <w:rPr>
                <w:rFonts w:hint="eastAsia"/>
              </w:rPr>
              <w:t>巡察组巡察</w:t>
            </w:r>
            <w:r>
              <w:t>，无重大违纪违规问题。</w:t>
            </w:r>
          </w:p>
          <w:p>
            <w:pPr>
              <w:ind w:firstLine="420"/>
              <w:rPr>
                <w:kern w:val="0"/>
                <w:szCs w:val="21"/>
              </w:rPr>
            </w:pPr>
            <w:r>
              <w:t>3、重大动物疫病防控。</w:t>
            </w:r>
            <w:r>
              <w:rPr>
                <w:kern w:val="0"/>
                <w:szCs w:val="21"/>
              </w:rPr>
              <w:t>加大动物防疫的宣传力度、组织力度和工作力度，全面落实畜禽免疫标识、免疫档案、免疫证“三位一体”的动物标识制度，对家畜家禽规模养殖户做好户籍化管理。完成牲畜口蹄疫、猪瘟、牲猪蓝耳病、禽流感、鸡新城疫、狂</w:t>
            </w:r>
            <w:r>
              <w:rPr>
                <w:rFonts w:hint="eastAsia"/>
                <w:kern w:val="0"/>
                <w:szCs w:val="21"/>
              </w:rPr>
              <w:t>犬</w:t>
            </w:r>
            <w:r>
              <w:rPr>
                <w:kern w:val="0"/>
                <w:szCs w:val="21"/>
              </w:rPr>
              <w:t>病等免疫任务，</w:t>
            </w:r>
            <w:r>
              <w:rPr>
                <w:rFonts w:hint="eastAsia"/>
                <w:kern w:val="0"/>
                <w:szCs w:val="21"/>
              </w:rPr>
              <w:t>做到免疫密度100%，免疫证发放100%，台账建立100%,耳标卡戴100%。</w:t>
            </w:r>
          </w:p>
          <w:p>
            <w:pPr>
              <w:ind w:firstLine="420" w:firstLineChars="200"/>
            </w:pPr>
            <w:r>
              <w:t>4、食品药品安全。</w:t>
            </w:r>
            <w:r>
              <w:rPr>
                <w:rFonts w:hint="eastAsia"/>
              </w:rPr>
              <w:t>2018年</w:t>
            </w:r>
            <w:r>
              <w:rPr>
                <w:rFonts w:hint="eastAsia"/>
                <w:kern w:val="0"/>
                <w:szCs w:val="21"/>
              </w:rPr>
              <w:t>乐安乡食品安全协调领导小组协同乡卫生院等部门的执法人员，对乡农贸市场、全乡副食店及餐饮店进行6次以上食品安全检查，重点检查我乡中小学及幼儿园的食堂，并对农技站、畜牧站及6家私营化肥店的农药、兽药进行抽查。</w:t>
            </w:r>
          </w:p>
          <w:p>
            <w:pPr>
              <w:ind w:firstLine="420" w:firstLineChars="200"/>
            </w:pPr>
            <w:r>
              <w:t>5、安全生产。一是安全责任加强落实，与</w:t>
            </w:r>
            <w:r>
              <w:rPr>
                <w:rFonts w:hint="eastAsia"/>
              </w:rPr>
              <w:t>8</w:t>
            </w:r>
            <w:r>
              <w:t>个村委会签订了《安全生产责任状》和《交通安全管理责任状》，加强安全责任的量化考核。二是强化对化学危险品的专项整治。根据《危险化学品安全管理条例》要求，每月乡安监工作人员对</w:t>
            </w:r>
            <w:r>
              <w:rPr>
                <w:rFonts w:hint="eastAsia"/>
              </w:rPr>
              <w:t>乐安</w:t>
            </w:r>
            <w:r>
              <w:t>加油站进行巡查，并宣讲安全知识，杜绝了我乡安全事故的发生。三是对人员密集场所开展消防安全整治工作，严格整治乱拉电线等违规行为，落实安全预防措施。</w:t>
            </w:r>
            <w:r>
              <w:rPr>
                <w:rFonts w:hint="eastAsia"/>
              </w:rPr>
              <w:t>四</w:t>
            </w:r>
            <w:r>
              <w:t>是对烟花爆竹进行安全整治。对无证经营和走私经营点进行严厉打击。</w:t>
            </w:r>
            <w:r>
              <w:rPr>
                <w:rFonts w:hint="eastAsia"/>
              </w:rPr>
              <w:t>五</w:t>
            </w:r>
            <w:r>
              <w:t>是开展安全生产</w:t>
            </w:r>
            <w:r>
              <w:rPr>
                <w:rFonts w:hint="eastAsia"/>
              </w:rPr>
              <w:t>咨询日活动，</w:t>
            </w:r>
            <w:r>
              <w:rPr>
                <w:rFonts w:ascii="宋体" w:hAnsi="宋体" w:cs="宋体"/>
                <w:szCs w:val="21"/>
              </w:rPr>
              <w:t>发放《安全生产知识》读本</w:t>
            </w:r>
            <w:r>
              <w:rPr>
                <w:rFonts w:hint="eastAsia" w:ascii="宋体" w:hAnsi="宋体" w:cs="宋体"/>
                <w:szCs w:val="21"/>
              </w:rPr>
              <w:t>1000</w:t>
            </w:r>
            <w:r>
              <w:rPr>
                <w:rFonts w:ascii="宋体" w:hAnsi="宋体" w:cs="宋体"/>
                <w:szCs w:val="21"/>
              </w:rPr>
              <w:t>余份</w:t>
            </w:r>
            <w:r>
              <w:rPr>
                <w:rFonts w:hint="eastAsia" w:ascii="宋体" w:hAnsi="宋体" w:cs="宋体"/>
                <w:szCs w:val="21"/>
              </w:rPr>
              <w:t>，</w:t>
            </w:r>
            <w:r>
              <w:rPr>
                <w:rFonts w:ascii="宋体" w:hAnsi="宋体" w:cs="宋体"/>
                <w:szCs w:val="21"/>
              </w:rPr>
              <w:t>进一步提高了人民群众的安全生产意识，普及了安全生产知识，收到良好的效果。为营造人人熟悉安全常识、人人关心安全的良好氛围奠定了坚实的基础。</w:t>
            </w:r>
          </w:p>
          <w:p>
            <w:pPr>
              <w:ind w:firstLine="420" w:firstLineChars="200"/>
            </w:pPr>
            <w:r>
              <w:t>6、防汛及山洪地质灾害防治工作。健全防汛制度，</w:t>
            </w:r>
            <w:r>
              <w:rPr>
                <w:rFonts w:hint="eastAsia"/>
                <w:kern w:val="0"/>
                <w:szCs w:val="21"/>
              </w:rPr>
              <w:t>成立防汛抗灾工作领导小组，汛期（4-9 月）每天安排干部职工24小时值班，并利用广播、手机短信等手段宣传防灾逃生知识，提高群众防灾避险能力。安排专项经费，对全乡多个地质灾害隐患点，各安排1名群防人员，随时监测隐患点的险情。</w:t>
            </w:r>
          </w:p>
          <w:p>
            <w:pPr>
              <w:ind w:firstLine="420" w:firstLineChars="200"/>
              <w:rPr>
                <w:kern w:val="0"/>
                <w:szCs w:val="21"/>
              </w:rPr>
            </w:pPr>
            <w:r>
              <w:t>7、国土与耕地保护工作。</w:t>
            </w:r>
            <w:r>
              <w:rPr>
                <w:rFonts w:hint="eastAsia"/>
              </w:rPr>
              <w:t>加大对耕地的保护与开发力度。做到2018年全乡没有非法占用基本农田建房和非法买卖占用集体土地事件。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83" w:type="dxa"/>
            <w:vMerge w:val="continue"/>
            <w:vAlign w:val="center"/>
          </w:tcPr>
          <w:p>
            <w:pPr>
              <w:widowControl/>
              <w:jc w:val="center"/>
              <w:rPr>
                <w:rFonts w:ascii="宋体" w:hAnsi="宋体"/>
                <w:kern w:val="0"/>
                <w:szCs w:val="21"/>
              </w:rPr>
            </w:pPr>
          </w:p>
        </w:tc>
        <w:tc>
          <w:tcPr>
            <w:tcW w:w="1860" w:type="dxa"/>
            <w:gridSpan w:val="2"/>
            <w:vMerge w:val="continue"/>
            <w:vAlign w:val="center"/>
          </w:tcPr>
          <w:p>
            <w:pPr>
              <w:widowControl/>
              <w:jc w:val="left"/>
              <w:rPr>
                <w:kern w:val="0"/>
                <w:szCs w:val="21"/>
              </w:rPr>
            </w:pPr>
          </w:p>
        </w:tc>
        <w:tc>
          <w:tcPr>
            <w:tcW w:w="6497" w:type="dxa"/>
            <w:gridSpan w:val="5"/>
            <w:vAlign w:val="center"/>
          </w:tcPr>
          <w:p>
            <w:pPr>
              <w:widowControl/>
              <w:jc w:val="left"/>
              <w:rPr>
                <w:kern w:val="0"/>
                <w:szCs w:val="21"/>
              </w:rPr>
            </w:pPr>
            <w:r>
              <w:rPr>
                <w:kern w:val="0"/>
                <w:szCs w:val="21"/>
              </w:rPr>
              <w:t>效益指标</w:t>
            </w:r>
            <w:r>
              <w:rPr>
                <w:rFonts w:hint="eastAsia"/>
                <w:kern w:val="0"/>
                <w:szCs w:val="21"/>
              </w:rPr>
              <w:t>：</w:t>
            </w:r>
          </w:p>
          <w:p>
            <w:pPr>
              <w:widowControl/>
              <w:ind w:firstLine="420" w:firstLineChars="200"/>
              <w:jc w:val="left"/>
              <w:rPr>
                <w:kern w:val="0"/>
                <w:szCs w:val="21"/>
              </w:rPr>
            </w:pPr>
            <w:r>
              <w:rPr>
                <w:rFonts w:hint="eastAsia"/>
                <w:kern w:val="0"/>
                <w:szCs w:val="21"/>
              </w:rPr>
              <w:t>1、可持续影响指标：扎实做好防汛工作，为百姓的安全生产提供了有力的保障。</w:t>
            </w:r>
          </w:p>
          <w:p>
            <w:pPr>
              <w:widowControl/>
              <w:ind w:firstLine="420" w:firstLineChars="200"/>
              <w:jc w:val="left"/>
              <w:rPr>
                <w:kern w:val="0"/>
                <w:szCs w:val="21"/>
              </w:rPr>
            </w:pPr>
            <w:r>
              <w:rPr>
                <w:rFonts w:hint="eastAsia"/>
                <w:kern w:val="0"/>
                <w:szCs w:val="21"/>
              </w:rPr>
              <w:t>2、社会效益指标：加大安全生产的监管，保证了百姓的利益、维护了群众的安全，杜绝了各类重特大安全事故的发生。</w:t>
            </w:r>
          </w:p>
          <w:p>
            <w:pPr>
              <w:widowControl/>
              <w:ind w:firstLine="420" w:firstLineChars="200"/>
              <w:jc w:val="left"/>
              <w:rPr>
                <w:kern w:val="0"/>
                <w:szCs w:val="21"/>
              </w:rPr>
            </w:pPr>
            <w:r>
              <w:rPr>
                <w:rFonts w:hint="eastAsia"/>
                <w:kern w:val="0"/>
                <w:szCs w:val="21"/>
              </w:rPr>
              <w:t>3、社会效益指标：计划生育工作的顺利开展，实现了人口与计划生育工作的有效管理与服务。</w:t>
            </w:r>
          </w:p>
          <w:p>
            <w:pPr>
              <w:widowControl/>
              <w:ind w:firstLine="420" w:firstLineChars="200"/>
              <w:jc w:val="left"/>
              <w:rPr>
                <w:kern w:val="0"/>
                <w:szCs w:val="21"/>
              </w:rPr>
            </w:pPr>
            <w:r>
              <w:rPr>
                <w:rFonts w:hint="eastAsia"/>
                <w:kern w:val="0"/>
                <w:szCs w:val="21"/>
              </w:rPr>
              <w:t>4、经济效益指标：建立完善</w:t>
            </w:r>
            <w:r>
              <w:rPr>
                <w:rFonts w:hint="eastAsia"/>
              </w:rPr>
              <w:t>乡政府资产清查、村级审计清查机制，促进乡村财务工作标准化。</w:t>
            </w:r>
          </w:p>
          <w:p>
            <w:pPr>
              <w:widowControl/>
              <w:ind w:firstLine="420" w:firstLineChars="200"/>
              <w:jc w:val="left"/>
              <w:rPr>
                <w:kern w:val="0"/>
                <w:szCs w:val="21"/>
              </w:rPr>
            </w:pPr>
            <w:r>
              <w:rPr>
                <w:rFonts w:hint="eastAsia"/>
                <w:kern w:val="0"/>
                <w:szCs w:val="21"/>
              </w:rPr>
              <w:t>5、经济效益指标：加强</w:t>
            </w:r>
            <w:r>
              <w:rPr>
                <w:rFonts w:hint="eastAsia"/>
              </w:rPr>
              <w:t>农村资金登记，做到资金、资产、资源底数清、内容全。</w:t>
            </w:r>
          </w:p>
          <w:p>
            <w:pPr>
              <w:widowControl/>
              <w:ind w:firstLine="420" w:firstLineChars="200"/>
              <w:jc w:val="left"/>
              <w:rPr>
                <w:kern w:val="0"/>
                <w:szCs w:val="21"/>
              </w:rPr>
            </w:pPr>
            <w:r>
              <w:rPr>
                <w:rFonts w:hint="eastAsia"/>
                <w:kern w:val="0"/>
                <w:szCs w:val="21"/>
              </w:rPr>
              <w:t>6、社会效益指标：食品药品安全、</w:t>
            </w:r>
            <w:r>
              <w:rPr>
                <w:kern w:val="0"/>
                <w:szCs w:val="21"/>
              </w:rPr>
              <w:t>疫病防控</w:t>
            </w:r>
            <w:r>
              <w:rPr>
                <w:rFonts w:hint="eastAsia"/>
                <w:kern w:val="0"/>
                <w:szCs w:val="21"/>
              </w:rPr>
              <w:t>工作进一步加强，实现保证质量、预防为主的良好态势。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3" w:type="dxa"/>
            <w:vMerge w:val="continue"/>
            <w:vAlign w:val="center"/>
          </w:tcPr>
          <w:p>
            <w:pPr>
              <w:widowControl/>
              <w:jc w:val="center"/>
              <w:rPr>
                <w:rFonts w:ascii="宋体" w:hAnsi="宋体"/>
                <w:kern w:val="0"/>
                <w:szCs w:val="21"/>
              </w:rPr>
            </w:pPr>
          </w:p>
        </w:tc>
        <w:tc>
          <w:tcPr>
            <w:tcW w:w="1860" w:type="dxa"/>
            <w:gridSpan w:val="2"/>
            <w:vAlign w:val="center"/>
          </w:tcPr>
          <w:p>
            <w:pPr>
              <w:widowControl/>
              <w:jc w:val="left"/>
              <w:rPr>
                <w:kern w:val="0"/>
                <w:szCs w:val="21"/>
              </w:rPr>
            </w:pPr>
            <w:r>
              <w:rPr>
                <w:rFonts w:hint="eastAsia"/>
                <w:kern w:val="0"/>
                <w:szCs w:val="21"/>
              </w:rPr>
              <w:t>绩效目标内容8：</w:t>
            </w:r>
          </w:p>
          <w:p>
            <w:pPr>
              <w:widowControl/>
              <w:jc w:val="left"/>
              <w:rPr>
                <w:kern w:val="0"/>
                <w:szCs w:val="21"/>
              </w:rPr>
            </w:pPr>
            <w:r>
              <w:t>基层组织建设</w:t>
            </w:r>
          </w:p>
        </w:tc>
        <w:tc>
          <w:tcPr>
            <w:tcW w:w="6497" w:type="dxa"/>
            <w:gridSpan w:val="5"/>
            <w:vAlign w:val="center"/>
          </w:tcPr>
          <w:p>
            <w:pPr>
              <w:ind w:firstLine="420"/>
            </w:pPr>
            <w:r>
              <w:rPr>
                <w:rFonts w:hint="eastAsia"/>
              </w:rPr>
              <w:t>1、深入开展十九大会议精神学习，通过会议集中学习讨论和干部自学，不断用先进理论武装干部队伍，增强贯彻上级精神的自觉性和坚定性。乡党委召开了动员会1次，推进会3次，并在8个支部召开了动员会、专题讨论和集中学习，并给每个党员发放了宣传卡片，创建了流动党员微信群，加入了红星云。</w:t>
            </w:r>
          </w:p>
          <w:p>
            <w:pPr>
              <w:ind w:firstLine="420"/>
            </w:pPr>
            <w:r>
              <w:rPr>
                <w:rFonts w:hint="eastAsia"/>
              </w:rPr>
              <w:t>2、积极</w:t>
            </w:r>
            <w:r>
              <w:t>完成全乡</w:t>
            </w:r>
            <w:r>
              <w:rPr>
                <w:rFonts w:hint="eastAsia"/>
              </w:rPr>
              <w:t>镇8</w:t>
            </w:r>
            <w:r>
              <w:t>个党支部党费收缴工作。</w:t>
            </w:r>
          </w:p>
          <w:p>
            <w:pPr>
              <w:ind w:firstLine="420" w:firstLineChars="200"/>
            </w:pPr>
            <w:r>
              <w:rPr>
                <w:rFonts w:hint="eastAsia"/>
              </w:rPr>
              <w:t>3、加强基层组织建设。加深乡村干部党建知识学习，开展干部教育培训，努力消除干部的旧思想、旧观念、旧思维、旧习惯，培养战略眼光、全局思维、创新精神、实干作风，克服“本领恐慌”，不断提高服务群众的本领，配强配优村级干部力量，不断提高村级组织带领群众致富、建设社会主义新农村的本领。推进两个专项整治活动常态化、长效化，促进反腐倡廉工作深入开展，营造和谐的干群关系。</w:t>
            </w:r>
          </w:p>
          <w:p>
            <w:pPr>
              <w:ind w:firstLine="420" w:firstLineChars="200"/>
            </w:pPr>
            <w:r>
              <w:rPr>
                <w:rFonts w:hint="eastAsia"/>
              </w:rPr>
              <w:t>4、加强干部队伍建设。加大对干部队伍的建设力度，制定干部上班签到、出差、请假审批以及绩效考评制度，培养一批思想好、本能强、业绩优、形象佳的干部，形成一种向上风气，让干事的干部有荣誉感，让不干事的干部有危机感，激励干部想干事、敢干事、能干事、干成事，由此带动全乡形成一股汹涌澎湃的干事创业激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283" w:type="dxa"/>
            <w:vMerge w:val="continue"/>
            <w:vAlign w:val="center"/>
          </w:tcPr>
          <w:p>
            <w:pPr>
              <w:widowControl/>
              <w:jc w:val="center"/>
              <w:rPr>
                <w:rFonts w:ascii="宋体" w:hAnsi="宋体"/>
                <w:kern w:val="0"/>
                <w:szCs w:val="21"/>
              </w:rPr>
            </w:pPr>
          </w:p>
        </w:tc>
        <w:tc>
          <w:tcPr>
            <w:tcW w:w="1860" w:type="dxa"/>
            <w:gridSpan w:val="2"/>
            <w:vAlign w:val="center"/>
          </w:tcPr>
          <w:p>
            <w:pPr>
              <w:widowControl/>
              <w:jc w:val="left"/>
              <w:rPr>
                <w:kern w:val="0"/>
                <w:szCs w:val="21"/>
              </w:rPr>
            </w:pPr>
          </w:p>
        </w:tc>
        <w:tc>
          <w:tcPr>
            <w:tcW w:w="6497" w:type="dxa"/>
            <w:gridSpan w:val="5"/>
            <w:vAlign w:val="center"/>
          </w:tcPr>
          <w:p>
            <w:pPr>
              <w:widowControl/>
              <w:rPr>
                <w:kern w:val="0"/>
                <w:szCs w:val="21"/>
              </w:rPr>
            </w:pPr>
            <w:r>
              <w:rPr>
                <w:kern w:val="0"/>
                <w:szCs w:val="21"/>
              </w:rPr>
              <w:t>效益指标</w:t>
            </w:r>
            <w:r>
              <w:rPr>
                <w:rFonts w:hint="eastAsia"/>
                <w:kern w:val="0"/>
                <w:szCs w:val="21"/>
              </w:rPr>
              <w:t>：</w:t>
            </w:r>
          </w:p>
          <w:p>
            <w:pPr>
              <w:widowControl/>
              <w:ind w:firstLine="420" w:firstLineChars="200"/>
              <w:rPr>
                <w:kern w:val="0"/>
                <w:szCs w:val="21"/>
              </w:rPr>
            </w:pPr>
            <w:r>
              <w:rPr>
                <w:rFonts w:hint="eastAsia"/>
                <w:kern w:val="0"/>
                <w:szCs w:val="21"/>
              </w:rPr>
              <w:t>1、可持续影响指标：深入开展党的建设，提高了全乡党员干部的思想认识，加快了阳光型、服务型政府的建设。</w:t>
            </w:r>
          </w:p>
          <w:p>
            <w:pPr>
              <w:widowControl/>
              <w:ind w:firstLine="420" w:firstLineChars="200"/>
              <w:rPr>
                <w:kern w:val="0"/>
                <w:szCs w:val="21"/>
              </w:rPr>
            </w:pPr>
            <w:r>
              <w:rPr>
                <w:rFonts w:hint="eastAsia"/>
              </w:rPr>
              <w:t>2、</w:t>
            </w:r>
            <w:r>
              <w:rPr>
                <w:rFonts w:hint="eastAsia"/>
                <w:kern w:val="0"/>
                <w:szCs w:val="21"/>
              </w:rPr>
              <w:t>可持续影响指标：</w:t>
            </w:r>
            <w:r>
              <w:rPr>
                <w:rFonts w:hint="eastAsia"/>
              </w:rPr>
              <w:t>发挥基层党组织先锋模范和战斗堡垒作用，带动全乡建强基层组织。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283" w:type="dxa"/>
            <w:vMerge w:val="restart"/>
            <w:vAlign w:val="center"/>
          </w:tcPr>
          <w:p>
            <w:pPr>
              <w:widowControl/>
              <w:jc w:val="center"/>
              <w:rPr>
                <w:rFonts w:ascii="宋体" w:hAnsi="宋体"/>
                <w:kern w:val="0"/>
                <w:szCs w:val="21"/>
              </w:rPr>
            </w:pPr>
          </w:p>
        </w:tc>
        <w:tc>
          <w:tcPr>
            <w:tcW w:w="1860" w:type="dxa"/>
            <w:gridSpan w:val="2"/>
            <w:vMerge w:val="restart"/>
            <w:vAlign w:val="center"/>
          </w:tcPr>
          <w:p>
            <w:pPr>
              <w:widowControl/>
              <w:jc w:val="left"/>
              <w:rPr>
                <w:kern w:val="0"/>
                <w:szCs w:val="21"/>
              </w:rPr>
            </w:pPr>
            <w:r>
              <w:rPr>
                <w:rFonts w:hint="eastAsia"/>
                <w:kern w:val="0"/>
                <w:szCs w:val="21"/>
              </w:rPr>
              <w:t>绩效目标内容9：</w:t>
            </w:r>
          </w:p>
          <w:p>
            <w:pPr>
              <w:widowControl/>
              <w:jc w:val="left"/>
              <w:rPr>
                <w:kern w:val="0"/>
                <w:szCs w:val="21"/>
              </w:rPr>
            </w:pPr>
            <w:r>
              <w:t>民情服务中心规范化建设与管理</w:t>
            </w:r>
          </w:p>
        </w:tc>
        <w:tc>
          <w:tcPr>
            <w:tcW w:w="6497" w:type="dxa"/>
            <w:gridSpan w:val="5"/>
            <w:vAlign w:val="center"/>
          </w:tcPr>
          <w:p>
            <w:pPr>
              <w:widowControl/>
              <w:jc w:val="left"/>
              <w:rPr>
                <w:kern w:val="0"/>
                <w:szCs w:val="21"/>
              </w:rPr>
            </w:pPr>
            <w:r>
              <w:rPr>
                <w:kern w:val="0"/>
                <w:szCs w:val="21"/>
              </w:rPr>
              <w:t>产出指标</w:t>
            </w:r>
            <w:r>
              <w:rPr>
                <w:rFonts w:hint="eastAsia"/>
                <w:kern w:val="0"/>
                <w:szCs w:val="21"/>
              </w:rPr>
              <w:t>：</w:t>
            </w:r>
          </w:p>
          <w:p>
            <w:pPr>
              <w:widowControl/>
              <w:jc w:val="left"/>
              <w:rPr>
                <w:kern w:val="0"/>
                <w:szCs w:val="21"/>
              </w:rPr>
            </w:pPr>
            <w:r>
              <w:rPr>
                <w:rFonts w:hint="eastAsia"/>
              </w:rPr>
              <w:t xml:space="preserve">    1、</w:t>
            </w:r>
            <w:r>
              <w:t>完善“民情受理中心”</w:t>
            </w:r>
            <w:r>
              <w:rPr>
                <w:rFonts w:hint="eastAsia"/>
              </w:rPr>
              <w:t>建设</w:t>
            </w:r>
            <w:r>
              <w:t>，打造</w:t>
            </w:r>
            <w:r>
              <w:rPr>
                <w:rFonts w:hint="eastAsia"/>
              </w:rPr>
              <w:t>我</w:t>
            </w:r>
            <w:r>
              <w:t>乡民情服务中心，将七站八所整合到民情服务中心集中办公，并建立</w:t>
            </w:r>
            <w:r>
              <w:rPr>
                <w:rFonts w:hint="eastAsia"/>
              </w:rPr>
              <w:t>我</w:t>
            </w:r>
            <w:r>
              <w:t>乡民情服务中心台账，通过一站式的高效便民服务，切实转变基层站所的工作作风</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6" w:hRule="atLeast"/>
          <w:jc w:val="center"/>
        </w:trPr>
        <w:tc>
          <w:tcPr>
            <w:tcW w:w="1283" w:type="dxa"/>
            <w:vMerge w:val="continue"/>
            <w:vAlign w:val="center"/>
          </w:tcPr>
          <w:p>
            <w:pPr>
              <w:widowControl/>
              <w:jc w:val="center"/>
              <w:rPr>
                <w:rFonts w:ascii="宋体" w:hAnsi="宋体"/>
                <w:kern w:val="0"/>
                <w:szCs w:val="21"/>
              </w:rPr>
            </w:pPr>
          </w:p>
        </w:tc>
        <w:tc>
          <w:tcPr>
            <w:tcW w:w="1860" w:type="dxa"/>
            <w:gridSpan w:val="2"/>
            <w:vMerge w:val="continue"/>
            <w:vAlign w:val="center"/>
          </w:tcPr>
          <w:p>
            <w:pPr>
              <w:widowControl/>
              <w:jc w:val="left"/>
            </w:pPr>
          </w:p>
        </w:tc>
        <w:tc>
          <w:tcPr>
            <w:tcW w:w="6497" w:type="dxa"/>
            <w:gridSpan w:val="5"/>
            <w:vAlign w:val="center"/>
          </w:tcPr>
          <w:p>
            <w:pPr>
              <w:widowControl/>
              <w:rPr>
                <w:kern w:val="0"/>
                <w:szCs w:val="21"/>
              </w:rPr>
            </w:pPr>
            <w:r>
              <w:rPr>
                <w:kern w:val="0"/>
                <w:szCs w:val="21"/>
              </w:rPr>
              <w:t>效益指标</w:t>
            </w:r>
            <w:r>
              <w:rPr>
                <w:rFonts w:hint="eastAsia"/>
                <w:kern w:val="0"/>
                <w:szCs w:val="21"/>
              </w:rPr>
              <w:t>：</w:t>
            </w:r>
          </w:p>
          <w:p>
            <w:pPr>
              <w:widowControl/>
              <w:ind w:firstLine="420" w:firstLineChars="200"/>
              <w:rPr>
                <w:kern w:val="0"/>
                <w:szCs w:val="21"/>
              </w:rPr>
            </w:pPr>
            <w:r>
              <w:rPr>
                <w:rFonts w:hint="eastAsia"/>
                <w:kern w:val="0"/>
                <w:szCs w:val="21"/>
              </w:rPr>
              <w:t>1、可持续影响指标：民情服务中心达到实体运作，人员、场地、设施、制度、保障“五落实”。</w:t>
            </w:r>
          </w:p>
          <w:p>
            <w:pPr>
              <w:ind w:firstLine="420" w:firstLineChars="200"/>
            </w:pPr>
            <w:r>
              <w:rPr>
                <w:rFonts w:hint="eastAsia"/>
                <w:kern w:val="0"/>
                <w:szCs w:val="21"/>
              </w:rPr>
              <w:t>2、社会公众或服务对象满意度指标：群众办事达到“一站式”效果，做到简政增效，群众满意度100%。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18" w:type="dxa"/>
            <w:gridSpan w:val="2"/>
            <w:vAlign w:val="center"/>
          </w:tcPr>
          <w:p>
            <w:pPr>
              <w:widowControl/>
              <w:rPr>
                <w:rFonts w:eastAsia="宋体"/>
                <w:kern w:val="0"/>
                <w:szCs w:val="21"/>
              </w:rPr>
            </w:pPr>
            <w:r>
              <w:rPr>
                <w:rFonts w:hint="eastAsia"/>
                <w:kern w:val="0"/>
                <w:szCs w:val="21"/>
              </w:rPr>
              <w:t>财政部门相关股室（盖章）</w:t>
            </w:r>
          </w:p>
        </w:tc>
        <w:tc>
          <w:tcPr>
            <w:tcW w:w="1725" w:type="dxa"/>
            <w:vAlign w:val="center"/>
          </w:tcPr>
          <w:p>
            <w:pPr>
              <w:widowControl/>
              <w:rPr>
                <w:kern w:val="0"/>
                <w:szCs w:val="21"/>
              </w:rPr>
            </w:pPr>
          </w:p>
          <w:p>
            <w:pPr>
              <w:widowControl/>
              <w:rPr>
                <w:kern w:val="0"/>
                <w:szCs w:val="21"/>
              </w:rPr>
            </w:pPr>
          </w:p>
          <w:p>
            <w:pPr>
              <w:widowControl/>
              <w:rPr>
                <w:rFonts w:eastAsia="宋体"/>
                <w:kern w:val="0"/>
                <w:szCs w:val="21"/>
              </w:rPr>
            </w:pPr>
            <w:r>
              <w:rPr>
                <w:rFonts w:hint="eastAsia"/>
                <w:kern w:val="0"/>
                <w:szCs w:val="21"/>
              </w:rPr>
              <w:t xml:space="preserve">     年 月  日</w:t>
            </w:r>
          </w:p>
        </w:tc>
        <w:tc>
          <w:tcPr>
            <w:tcW w:w="1395" w:type="dxa"/>
            <w:vAlign w:val="center"/>
          </w:tcPr>
          <w:p>
            <w:pPr>
              <w:widowControl/>
              <w:rPr>
                <w:rFonts w:eastAsia="宋体"/>
                <w:kern w:val="0"/>
                <w:szCs w:val="21"/>
              </w:rPr>
            </w:pPr>
            <w:r>
              <w:rPr>
                <w:rFonts w:hint="eastAsia"/>
                <w:kern w:val="0"/>
                <w:szCs w:val="21"/>
              </w:rPr>
              <w:t>财政部门绩效股（盖章）</w:t>
            </w:r>
          </w:p>
        </w:tc>
        <w:tc>
          <w:tcPr>
            <w:tcW w:w="1886" w:type="dxa"/>
            <w:vAlign w:val="center"/>
          </w:tcPr>
          <w:p>
            <w:pPr>
              <w:widowControl/>
              <w:rPr>
                <w:kern w:val="0"/>
                <w:szCs w:val="21"/>
              </w:rPr>
            </w:pPr>
          </w:p>
          <w:p>
            <w:pPr>
              <w:widowControl/>
              <w:rPr>
                <w:kern w:val="0"/>
                <w:szCs w:val="21"/>
              </w:rPr>
            </w:pPr>
          </w:p>
          <w:p>
            <w:pPr>
              <w:widowControl/>
              <w:rPr>
                <w:kern w:val="0"/>
                <w:szCs w:val="21"/>
              </w:rPr>
            </w:pPr>
            <w:r>
              <w:rPr>
                <w:rFonts w:hint="eastAsia"/>
                <w:kern w:val="0"/>
                <w:szCs w:val="21"/>
              </w:rPr>
              <w:t xml:space="preserve">    年  月   日</w:t>
            </w:r>
          </w:p>
        </w:tc>
        <w:tc>
          <w:tcPr>
            <w:tcW w:w="1044" w:type="dxa"/>
            <w:gridSpan w:val="2"/>
            <w:vAlign w:val="center"/>
          </w:tcPr>
          <w:p>
            <w:pPr>
              <w:widowControl/>
              <w:rPr>
                <w:rFonts w:eastAsia="宋体"/>
                <w:kern w:val="0"/>
                <w:szCs w:val="21"/>
              </w:rPr>
            </w:pPr>
            <w:r>
              <w:rPr>
                <w:rFonts w:hint="eastAsia"/>
                <w:kern w:val="0"/>
                <w:szCs w:val="21"/>
              </w:rPr>
              <w:t>财政局（盖章）</w:t>
            </w:r>
          </w:p>
        </w:tc>
        <w:tc>
          <w:tcPr>
            <w:tcW w:w="2172" w:type="dxa"/>
            <w:vAlign w:val="center"/>
          </w:tcPr>
          <w:p>
            <w:pPr>
              <w:widowControl/>
              <w:rPr>
                <w:kern w:val="0"/>
                <w:szCs w:val="21"/>
              </w:rPr>
            </w:pPr>
          </w:p>
          <w:p>
            <w:pPr>
              <w:widowControl/>
              <w:rPr>
                <w:kern w:val="0"/>
                <w:szCs w:val="21"/>
              </w:rPr>
            </w:pPr>
          </w:p>
          <w:p>
            <w:pPr>
              <w:widowControl/>
              <w:rPr>
                <w:kern w:val="0"/>
                <w:szCs w:val="21"/>
              </w:rPr>
            </w:pPr>
            <w:r>
              <w:rPr>
                <w:rFonts w:hint="eastAsia"/>
                <w:kern w:val="0"/>
                <w:szCs w:val="21"/>
              </w:rPr>
              <w:t xml:space="preserve">      年   月   日</w:t>
            </w:r>
          </w:p>
        </w:tc>
      </w:tr>
    </w:tbl>
    <w:p>
      <w:pPr>
        <w:widowControl/>
        <w:tabs>
          <w:tab w:val="left" w:pos="1333"/>
          <w:tab w:val="left" w:pos="3793"/>
          <w:tab w:val="left" w:pos="5853"/>
        </w:tabs>
        <w:jc w:val="left"/>
        <w:rPr>
          <w:kern w:val="0"/>
          <w:szCs w:val="21"/>
        </w:rPr>
      </w:pPr>
      <w:r>
        <w:rPr>
          <w:rFonts w:hint="eastAsia"/>
          <w:kern w:val="0"/>
          <w:szCs w:val="21"/>
        </w:rPr>
        <w:t xml:space="preserve">单位负责人：唐钧  </w:t>
      </w:r>
      <w:r>
        <w:rPr>
          <w:kern w:val="0"/>
          <w:szCs w:val="21"/>
        </w:rPr>
        <w:t>填报人：</w:t>
      </w:r>
      <w:r>
        <w:rPr>
          <w:rFonts w:hint="eastAsia"/>
          <w:kern w:val="0"/>
          <w:szCs w:val="21"/>
        </w:rPr>
        <w:t xml:space="preserve">刘璇 </w:t>
      </w:r>
      <w:r>
        <w:rPr>
          <w:kern w:val="0"/>
          <w:szCs w:val="21"/>
        </w:rPr>
        <w:t>联系电话：</w:t>
      </w:r>
      <w:r>
        <w:rPr>
          <w:rFonts w:hint="eastAsia"/>
          <w:kern w:val="0"/>
          <w:szCs w:val="21"/>
        </w:rPr>
        <w:t xml:space="preserve">19807391172 </w:t>
      </w:r>
      <w:r>
        <w:rPr>
          <w:kern w:val="0"/>
          <w:szCs w:val="21"/>
        </w:rPr>
        <w:t>填报日期：</w:t>
      </w:r>
      <w:r>
        <w:rPr>
          <w:rFonts w:hint="eastAsia"/>
          <w:kern w:val="0"/>
          <w:szCs w:val="21"/>
        </w:rPr>
        <w:t>2019年</w:t>
      </w:r>
      <w:r>
        <w:rPr>
          <w:rFonts w:hint="eastAsia"/>
          <w:kern w:val="0"/>
          <w:szCs w:val="21"/>
          <w:lang w:val="en-US" w:eastAsia="zh-CN"/>
        </w:rPr>
        <w:t>9</w:t>
      </w:r>
      <w:r>
        <w:rPr>
          <w:rFonts w:hint="eastAsia"/>
          <w:kern w:val="0"/>
          <w:szCs w:val="21"/>
        </w:rPr>
        <w:t>月1</w:t>
      </w:r>
      <w:r>
        <w:rPr>
          <w:rFonts w:hint="eastAsia"/>
          <w:kern w:val="0"/>
          <w:szCs w:val="21"/>
          <w:lang w:val="en-US" w:eastAsia="zh-CN"/>
        </w:rPr>
        <w:t>5</w:t>
      </w:r>
      <w:bookmarkStart w:id="0" w:name="_GoBack"/>
      <w:bookmarkEnd w:id="0"/>
      <w:r>
        <w:rPr>
          <w:rFonts w:hint="eastAsia"/>
          <w:kern w:val="0"/>
          <w:szCs w:val="21"/>
        </w:rPr>
        <w:t>日</w:t>
      </w:r>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7A"/>
    <w:family w:val="modern"/>
    <w:pitch w:val="default"/>
    <w:sig w:usb0="00000000" w:usb1="00000000" w:usb2="00000000" w:usb3="00000000" w:csb0="00040000" w:csb1="00000000"/>
  </w:font>
  <w:font w:name="方正小标宋_GBK">
    <w:altName w:val="宋体"/>
    <w:panose1 w:val="00000000000000000000"/>
    <w:charset w:val="7A"/>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7A"/>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71C87"/>
    <w:multiLevelType w:val="singleLevel"/>
    <w:tmpl w:val="43B71C87"/>
    <w:lvl w:ilvl="0" w:tentative="0">
      <w:start w:val="7"/>
      <w:numFmt w:val="decimal"/>
      <w:suff w:val="nothing"/>
      <w:lvlText w:val="%1、"/>
      <w:lvlJc w:val="left"/>
    </w:lvl>
  </w:abstractNum>
  <w:abstractNum w:abstractNumId="1">
    <w:nsid w:val="5786004F"/>
    <w:multiLevelType w:val="singleLevel"/>
    <w:tmpl w:val="5786004F"/>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6758"/>
    <w:rsid w:val="00094BF0"/>
    <w:rsid w:val="000E3DC0"/>
    <w:rsid w:val="0014112A"/>
    <w:rsid w:val="001B7B91"/>
    <w:rsid w:val="001E2BD4"/>
    <w:rsid w:val="002067E5"/>
    <w:rsid w:val="00227F9B"/>
    <w:rsid w:val="00236B55"/>
    <w:rsid w:val="00261574"/>
    <w:rsid w:val="0034192E"/>
    <w:rsid w:val="00362B0F"/>
    <w:rsid w:val="00375806"/>
    <w:rsid w:val="00394492"/>
    <w:rsid w:val="003A02F5"/>
    <w:rsid w:val="0043383F"/>
    <w:rsid w:val="004918A5"/>
    <w:rsid w:val="0056416C"/>
    <w:rsid w:val="00564A5F"/>
    <w:rsid w:val="005A3BE2"/>
    <w:rsid w:val="00630D82"/>
    <w:rsid w:val="006A24A3"/>
    <w:rsid w:val="00710287"/>
    <w:rsid w:val="0074129B"/>
    <w:rsid w:val="00742B2A"/>
    <w:rsid w:val="007A5426"/>
    <w:rsid w:val="007E60D9"/>
    <w:rsid w:val="00831C7F"/>
    <w:rsid w:val="0089196F"/>
    <w:rsid w:val="008D75D3"/>
    <w:rsid w:val="00997652"/>
    <w:rsid w:val="00A122EC"/>
    <w:rsid w:val="00A316F2"/>
    <w:rsid w:val="00BF7934"/>
    <w:rsid w:val="00C02BBC"/>
    <w:rsid w:val="00C3125E"/>
    <w:rsid w:val="00C641EB"/>
    <w:rsid w:val="00C86758"/>
    <w:rsid w:val="00CD2990"/>
    <w:rsid w:val="00CE341C"/>
    <w:rsid w:val="00D46CB5"/>
    <w:rsid w:val="00E03658"/>
    <w:rsid w:val="00E50AC3"/>
    <w:rsid w:val="00E753F4"/>
    <w:rsid w:val="00F03ADA"/>
    <w:rsid w:val="00F07C44"/>
    <w:rsid w:val="00FE0C40"/>
    <w:rsid w:val="032663D4"/>
    <w:rsid w:val="06021E28"/>
    <w:rsid w:val="063E0B77"/>
    <w:rsid w:val="09387890"/>
    <w:rsid w:val="09E82C74"/>
    <w:rsid w:val="0A8B3558"/>
    <w:rsid w:val="0F3375C7"/>
    <w:rsid w:val="11421E94"/>
    <w:rsid w:val="135F788E"/>
    <w:rsid w:val="162127C0"/>
    <w:rsid w:val="18AA0985"/>
    <w:rsid w:val="191E7739"/>
    <w:rsid w:val="1A8906C0"/>
    <w:rsid w:val="1DD3357D"/>
    <w:rsid w:val="1DF84BC2"/>
    <w:rsid w:val="234C1202"/>
    <w:rsid w:val="2A995F1C"/>
    <w:rsid w:val="2E621D79"/>
    <w:rsid w:val="308B29AA"/>
    <w:rsid w:val="33C60A33"/>
    <w:rsid w:val="33E16FEC"/>
    <w:rsid w:val="364E1DC6"/>
    <w:rsid w:val="4A0D3B01"/>
    <w:rsid w:val="4A214BCC"/>
    <w:rsid w:val="4B683E30"/>
    <w:rsid w:val="592164DF"/>
    <w:rsid w:val="5C696FD5"/>
    <w:rsid w:val="6C4F03EB"/>
    <w:rsid w:val="6E5F34C0"/>
    <w:rsid w:val="741064A6"/>
    <w:rsid w:val="79CF473B"/>
    <w:rsid w:val="7B220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character" w:styleId="7">
    <w:name w:val="FollowedHyperlink"/>
    <w:basedOn w:val="5"/>
    <w:unhideWhenUsed/>
    <w:qFormat/>
    <w:uiPriority w:val="99"/>
    <w:rPr>
      <w:color w:val="800080" w:themeColor="followedHyperlink"/>
      <w:u w:val="single"/>
    </w:rPr>
  </w:style>
  <w:style w:type="character" w:styleId="8">
    <w:name w:val="Hyperlink"/>
    <w:basedOn w:val="5"/>
    <w:unhideWhenUsed/>
    <w:qFormat/>
    <w:uiPriority w:val="99"/>
    <w:rPr>
      <w:color w:val="0000FF"/>
      <w:u w:val="single"/>
    </w:rPr>
  </w:style>
  <w:style w:type="character" w:customStyle="1" w:styleId="9">
    <w:name w:val="页脚 Char"/>
    <w:basedOn w:val="5"/>
    <w:link w:val="2"/>
    <w:qFormat/>
    <w:uiPriority w:val="0"/>
    <w:rPr>
      <w:rFonts w:ascii="Times New Roman" w:hAnsi="Times New Roman" w:eastAsia="宋体" w:cs="Times New Roman"/>
      <w:sz w:val="18"/>
      <w:szCs w:val="24"/>
    </w:rPr>
  </w:style>
  <w:style w:type="character" w:customStyle="1" w:styleId="10">
    <w:name w:val="页眉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17</Pages>
  <Words>1445</Words>
  <Characters>8239</Characters>
  <Lines>68</Lines>
  <Paragraphs>19</Paragraphs>
  <TotalTime>102</TotalTime>
  <ScaleCrop>false</ScaleCrop>
  <LinksUpToDate>false</LinksUpToDate>
  <CharactersWithSpaces>9665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2018-01-02T02:37:00Z</dcterms:created>
  <dc:creator>Administrator</dc:creator>
  <cp:lastModifiedBy>东东</cp:lastModifiedBy>
  <cp:lastPrinted>2018-03-28T03:30:00Z</cp:lastPrinted>
  <dcterms:modified xsi:type="dcterms:W3CDTF">2019-11-26T01:44:51Z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