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480" w:lineRule="atLeast"/>
        <w:jc w:val="both"/>
        <w:rPr>
          <w:rFonts w:ascii="黑体" w:hAnsi="黑体" w:eastAsia="黑体" w:cs="黑体"/>
          <w:color w:val="000000"/>
          <w:sz w:val="32"/>
          <w:szCs w:val="32"/>
        </w:rPr>
      </w:pPr>
    </w:p>
    <w:p>
      <w:pPr>
        <w:pStyle w:val="3"/>
        <w:widowControl/>
        <w:shd w:val="clear" w:color="auto" w:fill="FFFFFF"/>
        <w:spacing w:beforeAutospacing="0" w:afterAutospacing="0" w:line="480" w:lineRule="atLeast"/>
        <w:jc w:val="center"/>
        <w:rPr>
          <w:rFonts w:ascii="楷体" w:hAnsi="楷体" w:eastAsia="楷体" w:cs="楷体"/>
          <w:b/>
          <w:color w:val="000000"/>
          <w:sz w:val="32"/>
          <w:szCs w:val="32"/>
          <w:shd w:val="clear" w:color="auto" w:fill="FFFFFF"/>
        </w:rPr>
      </w:pPr>
      <w:r>
        <w:rPr>
          <w:rFonts w:hint="eastAsia" w:ascii="黑体" w:hAnsi="黑体" w:eastAsia="黑体" w:cs="楷体"/>
          <w:b/>
          <w:color w:val="000000"/>
          <w:sz w:val="32"/>
          <w:szCs w:val="32"/>
          <w:shd w:val="clear" w:color="auto" w:fill="FFFFFF"/>
        </w:rPr>
        <w:t>绥宁县</w:t>
      </w:r>
      <w:r>
        <w:rPr>
          <w:rFonts w:hint="eastAsia" w:ascii="黑体" w:hAnsi="黑体" w:eastAsia="黑体" w:cs="楷体"/>
          <w:b/>
          <w:color w:val="000000"/>
          <w:sz w:val="32"/>
          <w:szCs w:val="32"/>
          <w:shd w:val="clear" w:color="auto" w:fill="FFFFFF"/>
          <w:lang w:eastAsia="zh-CN"/>
        </w:rPr>
        <w:t>思源实验学校</w:t>
      </w:r>
      <w:r>
        <w:rPr>
          <w:rFonts w:hint="eastAsia" w:ascii="黑体" w:hAnsi="黑体" w:eastAsia="黑体" w:cs="黑体"/>
          <w:b/>
          <w:color w:val="000000"/>
          <w:sz w:val="32"/>
          <w:szCs w:val="32"/>
          <w:shd w:val="clear" w:color="auto" w:fill="FFFFFF"/>
        </w:rPr>
        <w:t>2022年度部门整体支出绩效自评报告</w:t>
      </w:r>
    </w:p>
    <w:p>
      <w:pPr>
        <w:widowControl/>
        <w:ind w:firstLine="640" w:firstLineChars="200"/>
        <w:rPr>
          <w:rFonts w:hint="eastAsia" w:ascii="仿宋" w:hAnsi="仿宋" w:eastAsia="仿宋" w:cs="仿宋"/>
          <w:color w:val="000000"/>
          <w:kern w:val="0"/>
          <w:sz w:val="32"/>
          <w:szCs w:val="32"/>
        </w:rPr>
      </w:pPr>
    </w:p>
    <w:p>
      <w:pPr>
        <w:widowControl/>
        <w:ind w:firstLine="640" w:firstLineChars="200"/>
        <w:rPr>
          <w:rFonts w:hint="eastAsia" w:ascii="仿宋" w:hAnsi="仿宋" w:eastAsia="仿宋" w:cs="仿宋"/>
          <w:color w:val="000000"/>
          <w:sz w:val="32"/>
          <w:szCs w:val="32"/>
        </w:rPr>
      </w:pPr>
      <w:r>
        <w:rPr>
          <w:rFonts w:hint="eastAsia" w:ascii="仿宋" w:hAnsi="仿宋" w:eastAsia="仿宋" w:cs="仿宋"/>
          <w:color w:val="000000"/>
          <w:kern w:val="0"/>
          <w:sz w:val="32"/>
          <w:szCs w:val="32"/>
        </w:rPr>
        <w:t>为进一步规范和加强预算资金管理，提高财政资金使用绩效，根据县财政局《关于开展2022年度财政支出绩效自评工作的通知》（绥财绩〔2023〕1号）相关要求，我部门对部门整体支出情况实施了绩效自评，现将自评情况报告如下：</w:t>
      </w:r>
    </w:p>
    <w:p>
      <w:pPr>
        <w:pStyle w:val="3"/>
        <w:widowControl/>
        <w:shd w:val="clear" w:color="auto" w:fill="FFFFFF"/>
        <w:spacing w:beforeAutospacing="0" w:afterAutospacing="0" w:line="480" w:lineRule="atLeast"/>
        <w:ind w:left="640"/>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一、部门基本情况</w:t>
      </w:r>
    </w:p>
    <w:p>
      <w:pPr>
        <w:pStyle w:val="3"/>
        <w:widowControl/>
        <w:shd w:val="clear" w:color="auto" w:fill="FFFFFF"/>
        <w:spacing w:beforeAutospacing="0" w:afterAutospacing="0" w:line="480" w:lineRule="atLeast"/>
        <w:ind w:left="640"/>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（一）部门职能职责</w:t>
      </w:r>
    </w:p>
    <w:p>
      <w:pPr>
        <w:ind w:firstLine="640" w:firstLineChars="200"/>
        <w:rPr>
          <w:rFonts w:hint="eastAsia" w:ascii="宋体" w:hAnsi="宋体" w:eastAsia="宋体" w:cs="宋体"/>
          <w:b w:val="0"/>
          <w:bCs w:val="0"/>
          <w:color w:val="010101"/>
          <w:sz w:val="32"/>
          <w:szCs w:val="32"/>
        </w:rPr>
      </w:pPr>
      <w:r>
        <w:rPr>
          <w:rFonts w:hint="eastAsia" w:ascii="宋体" w:hAnsi="宋体" w:eastAsia="宋体" w:cs="宋体"/>
          <w:b w:val="0"/>
          <w:bCs w:val="0"/>
          <w:sz w:val="32"/>
          <w:szCs w:val="32"/>
        </w:rPr>
        <w:t>宣传贯彻执行党和国家的教育方针、教育政策、教育法律和教育法规，贯彻执行上级教育行政部门的行政规章。配合各级人民政府依法动员、组织适龄儿童少年入学，严格控制辍学，推进九年义务教育。组织开展本校的教育教学科研和教育教学改革，科研兴教，科研兴校。负责对本校教育教学业务的具体管理，负责教育教学管理及教研教改工作，全力推进素质教育实施。按照教师的职数、编制和管理权限，负责本校教师人事管理、继续教育、考核考评等工作。指导、管理、检查、评价本校的教育教学工作，提高办学质量和办学效益。认真实施中学义务教育教学管理，全面推进素质教育，全面提高教育教学质量。</w:t>
      </w:r>
    </w:p>
    <w:p>
      <w:pPr>
        <w:numPr>
          <w:ilvl w:val="0"/>
          <w:numId w:val="0"/>
        </w:numPr>
        <w:autoSpaceDN w:val="0"/>
        <w:ind w:left="465" w:leftChars="0"/>
        <w:rPr>
          <w:rFonts w:hint="eastAsia" w:ascii="宋体" w:hAnsi="宋体" w:eastAsia="宋体" w:cs="宋体"/>
          <w:b w:val="0"/>
          <w:bCs w:val="0"/>
          <w:color w:val="010101"/>
          <w:sz w:val="32"/>
          <w:szCs w:val="32"/>
        </w:rPr>
      </w:pPr>
      <w:r>
        <w:rPr>
          <w:rFonts w:hint="eastAsia" w:ascii="宋体" w:hAnsi="宋体" w:eastAsia="宋体" w:cs="宋体"/>
          <w:b w:val="0"/>
          <w:bCs w:val="0"/>
          <w:color w:val="010101"/>
          <w:sz w:val="32"/>
          <w:szCs w:val="32"/>
        </w:rPr>
        <w:t>资金支出管理：</w:t>
      </w:r>
    </w:p>
    <w:p>
      <w:pPr>
        <w:ind w:firstLine="640" w:firstLineChars="200"/>
        <w:rPr>
          <w:rFonts w:hint="eastAsia" w:ascii="宋体" w:hAnsi="宋体" w:eastAsia="宋体" w:cs="宋体"/>
          <w:b w:val="0"/>
          <w:bCs w:val="0"/>
          <w:color w:val="010101"/>
          <w:sz w:val="32"/>
          <w:szCs w:val="32"/>
        </w:rPr>
      </w:pPr>
      <w:r>
        <w:rPr>
          <w:rFonts w:hint="eastAsia" w:ascii="宋体" w:hAnsi="宋体" w:eastAsia="宋体" w:cs="宋体"/>
          <w:b w:val="0"/>
          <w:bCs w:val="0"/>
          <w:sz w:val="32"/>
          <w:szCs w:val="32"/>
        </w:rPr>
        <w:t>绥宁县</w:t>
      </w:r>
      <w:r>
        <w:rPr>
          <w:rFonts w:hint="eastAsia" w:ascii="宋体" w:hAnsi="宋体" w:cs="宋体"/>
          <w:b w:val="0"/>
          <w:bCs w:val="0"/>
          <w:sz w:val="32"/>
          <w:szCs w:val="32"/>
          <w:lang w:eastAsia="zh-CN"/>
        </w:rPr>
        <w:t>思源实验学校</w:t>
      </w:r>
      <w:r>
        <w:rPr>
          <w:rFonts w:hint="eastAsia" w:ascii="宋体" w:hAnsi="宋体" w:eastAsia="宋体" w:cs="宋体"/>
          <w:b w:val="0"/>
          <w:bCs w:val="0"/>
          <w:sz w:val="32"/>
          <w:szCs w:val="32"/>
        </w:rPr>
        <w:t>资金为财政全额预算拨款，严格按照上级财政要求实施资金拨付。单位内部管理制度、内控制度等务制度较为健全。财政资金运行平稳、安全、高效。</w:t>
      </w:r>
    </w:p>
    <w:p>
      <w:pPr>
        <w:numPr>
          <w:ilvl w:val="0"/>
          <w:numId w:val="1"/>
        </w:numPr>
        <w:autoSpaceDN w:val="0"/>
        <w:ind w:left="0" w:leftChars="0" w:firstLine="465" w:firstLineChars="0"/>
        <w:rPr>
          <w:rFonts w:hint="eastAsia" w:ascii="宋体" w:hAnsi="宋体" w:eastAsia="宋体" w:cs="宋体"/>
          <w:b w:val="0"/>
          <w:bCs w:val="0"/>
          <w:color w:val="010101"/>
          <w:sz w:val="32"/>
          <w:szCs w:val="32"/>
        </w:rPr>
      </w:pPr>
      <w:r>
        <w:rPr>
          <w:rFonts w:hint="eastAsia" w:ascii="宋体" w:hAnsi="宋体" w:eastAsia="宋体" w:cs="宋体"/>
          <w:b w:val="0"/>
          <w:bCs w:val="0"/>
          <w:color w:val="010101"/>
          <w:sz w:val="32"/>
          <w:szCs w:val="32"/>
        </w:rPr>
        <w:t>年度重点工作为：</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t>（1）加强领导班子建设，坚持正确的办学理念</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t>（2）重视教师队伍建设，提高教师整体素质</w:t>
      </w:r>
    </w:p>
    <w:p>
      <w:pPr>
        <w:ind w:firstLine="160" w:firstLineChars="50"/>
        <w:rPr>
          <w:rFonts w:hint="eastAsia" w:ascii="宋体" w:hAnsi="宋体" w:eastAsia="宋体" w:cs="宋体"/>
          <w:b w:val="0"/>
          <w:bCs w:val="0"/>
          <w:sz w:val="32"/>
          <w:szCs w:val="32"/>
        </w:rPr>
      </w:pPr>
      <w:r>
        <w:rPr>
          <w:rFonts w:hint="eastAsia" w:ascii="宋体" w:hAnsi="宋体" w:eastAsia="宋体" w:cs="宋体"/>
          <w:b w:val="0"/>
          <w:bCs w:val="0"/>
          <w:sz w:val="32"/>
          <w:szCs w:val="32"/>
        </w:rPr>
        <w:t>(3 )加强学校党建工作，提升党员政治素养</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t>（4）强化学校安全管理，重视学生道德教育</w:t>
      </w:r>
    </w:p>
    <w:p>
      <w:pPr>
        <w:ind w:firstLine="160" w:firstLineChars="50"/>
        <w:rPr>
          <w:rFonts w:hint="eastAsia" w:ascii="宋体" w:hAnsi="宋体" w:eastAsia="宋体" w:cs="宋体"/>
          <w:b w:val="0"/>
          <w:bCs w:val="0"/>
          <w:sz w:val="32"/>
          <w:szCs w:val="32"/>
        </w:rPr>
      </w:pPr>
      <w:r>
        <w:rPr>
          <w:rFonts w:hint="eastAsia" w:ascii="宋体" w:hAnsi="宋体" w:eastAsia="宋体" w:cs="宋体"/>
          <w:b w:val="0"/>
          <w:bCs w:val="0"/>
          <w:sz w:val="32"/>
          <w:szCs w:val="32"/>
        </w:rPr>
        <w:t>(5)、狠抓教育常规落实，打造优质高效管理。</w:t>
      </w:r>
    </w:p>
    <w:p>
      <w:pPr>
        <w:ind w:firstLine="160" w:firstLineChars="50"/>
        <w:rPr>
          <w:rFonts w:hint="eastAsia" w:ascii="宋体" w:hAnsi="宋体" w:eastAsia="宋体" w:cs="宋体"/>
          <w:b w:val="0"/>
          <w:bCs w:val="0"/>
          <w:color w:val="010101"/>
          <w:sz w:val="32"/>
          <w:szCs w:val="32"/>
        </w:rPr>
      </w:pPr>
      <w:r>
        <w:rPr>
          <w:rFonts w:hint="eastAsia" w:ascii="宋体" w:hAnsi="宋体" w:eastAsia="宋体" w:cs="宋体"/>
          <w:b w:val="0"/>
          <w:bCs w:val="0"/>
          <w:sz w:val="32"/>
          <w:szCs w:val="32"/>
        </w:rPr>
        <w:t>(6)重视教育质量管理，提高教师职业自信</w:t>
      </w:r>
    </w:p>
    <w:p>
      <w:pPr>
        <w:pStyle w:val="3"/>
        <w:widowControl/>
        <w:shd w:val="clear" w:color="auto" w:fill="FFFFFF"/>
        <w:spacing w:beforeAutospacing="0" w:afterAutospacing="0" w:line="480" w:lineRule="atLeast"/>
        <w:ind w:left="640"/>
        <w:rPr>
          <w:rFonts w:ascii="仿宋" w:hAnsi="仿宋" w:eastAsia="仿宋" w:cs="仿宋"/>
          <w:color w:val="000000"/>
          <w:sz w:val="32"/>
          <w:szCs w:val="32"/>
          <w:shd w:val="clear" w:color="auto" w:fill="FFFFFF"/>
        </w:rPr>
      </w:pPr>
    </w:p>
    <w:p>
      <w:pPr>
        <w:pStyle w:val="3"/>
        <w:widowControl/>
        <w:numPr>
          <w:ilvl w:val="0"/>
          <w:numId w:val="2"/>
        </w:numPr>
        <w:shd w:val="clear" w:color="auto" w:fill="FFFFFF"/>
        <w:spacing w:beforeAutospacing="0" w:afterAutospacing="0" w:line="480" w:lineRule="atLeast"/>
        <w:ind w:left="640"/>
        <w:rPr>
          <w:rFonts w:hint="eastAsia"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机构设置情况</w:t>
      </w:r>
    </w:p>
    <w:p>
      <w:pPr>
        <w:pStyle w:val="3"/>
        <w:widowControl/>
        <w:numPr>
          <w:ilvl w:val="0"/>
          <w:numId w:val="0"/>
        </w:numPr>
        <w:shd w:val="clear" w:color="auto" w:fill="FFFFFF"/>
        <w:spacing w:beforeAutospacing="0" w:afterAutospacing="0" w:line="480" w:lineRule="atLeast"/>
        <w:ind w:firstLine="640" w:firstLineChars="200"/>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2022年末，我部门内设股室</w:t>
      </w:r>
      <w:r>
        <w:rPr>
          <w:rFonts w:hint="eastAsia" w:ascii="宋体" w:hAnsi="宋体" w:eastAsia="宋体" w:cs="宋体"/>
          <w:color w:val="000000"/>
          <w:sz w:val="32"/>
          <w:szCs w:val="32"/>
          <w:shd w:val="clear" w:color="auto" w:fill="FFFFFF"/>
          <w:lang w:val="en-US" w:eastAsia="zh-CN"/>
        </w:rPr>
        <w:t>6</w:t>
      </w:r>
      <w:r>
        <w:rPr>
          <w:rFonts w:hint="eastAsia" w:ascii="宋体" w:hAnsi="宋体" w:eastAsia="宋体" w:cs="宋体"/>
          <w:color w:val="000000"/>
          <w:sz w:val="32"/>
          <w:szCs w:val="32"/>
          <w:shd w:val="clear" w:color="auto" w:fill="FFFFFF"/>
        </w:rPr>
        <w:t>个，所属事业单位</w:t>
      </w:r>
      <w:r>
        <w:rPr>
          <w:rFonts w:hint="eastAsia" w:ascii="宋体" w:hAnsi="宋体" w:eastAsia="宋体" w:cs="宋体"/>
          <w:color w:val="000000"/>
          <w:sz w:val="32"/>
          <w:szCs w:val="32"/>
          <w:shd w:val="clear" w:color="auto" w:fill="FFFFFF"/>
          <w:lang w:val="en-US" w:eastAsia="zh-CN"/>
        </w:rPr>
        <w:t>1</w:t>
      </w:r>
      <w:r>
        <w:rPr>
          <w:rFonts w:hint="eastAsia" w:ascii="宋体" w:hAnsi="宋体" w:eastAsia="宋体" w:cs="宋体"/>
          <w:color w:val="000000"/>
          <w:sz w:val="32"/>
          <w:szCs w:val="32"/>
          <w:shd w:val="clear" w:color="auto" w:fill="FFFFFF"/>
        </w:rPr>
        <w:t>个。</w:t>
      </w:r>
    </w:p>
    <w:p>
      <w:pPr>
        <w:pStyle w:val="3"/>
        <w:widowControl/>
        <w:shd w:val="clear" w:color="auto" w:fill="FFFFFF"/>
        <w:spacing w:beforeAutospacing="0" w:afterAutospacing="0" w:line="480" w:lineRule="atLeast"/>
        <w:ind w:firstLine="640" w:firstLineChars="200"/>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内设股室分别是：</w:t>
      </w:r>
      <w:r>
        <w:rPr>
          <w:rFonts w:hint="eastAsia" w:ascii="宋体" w:hAnsi="宋体" w:eastAsia="宋体" w:cs="宋体"/>
          <w:sz w:val="32"/>
          <w:szCs w:val="32"/>
        </w:rPr>
        <w:t>校长室、教务处、政教处、总务处</w:t>
      </w:r>
      <w:r>
        <w:rPr>
          <w:rFonts w:hint="eastAsia" w:ascii="宋体" w:hAnsi="宋体" w:cs="宋体"/>
          <w:sz w:val="32"/>
          <w:szCs w:val="32"/>
          <w:lang w:eastAsia="zh-CN"/>
        </w:rPr>
        <w:t>、</w:t>
      </w:r>
      <w:r>
        <w:rPr>
          <w:rFonts w:hint="eastAsia" w:ascii="宋体" w:hAnsi="宋体" w:eastAsia="宋体" w:cs="宋体"/>
          <w:sz w:val="32"/>
          <w:szCs w:val="32"/>
        </w:rPr>
        <w:t xml:space="preserve">财务室、办公室。与上年没有变化 </w:t>
      </w:r>
      <w:r>
        <w:rPr>
          <w:rFonts w:hint="eastAsia" w:ascii="宋体" w:hAnsi="宋体" w:eastAsia="宋体" w:cs="宋体"/>
          <w:color w:val="000000"/>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根据编委核定，绥宁县</w:t>
      </w:r>
      <w:r>
        <w:rPr>
          <w:rFonts w:hint="eastAsia" w:ascii="宋体" w:hAnsi="宋体" w:cs="宋体"/>
          <w:sz w:val="32"/>
          <w:szCs w:val="32"/>
          <w:lang w:eastAsia="zh-CN"/>
        </w:rPr>
        <w:t>思源实验学校</w:t>
      </w:r>
      <w:r>
        <w:rPr>
          <w:rFonts w:hint="eastAsia" w:ascii="宋体" w:hAnsi="宋体" w:eastAsia="宋体" w:cs="宋体"/>
          <w:sz w:val="32"/>
          <w:szCs w:val="32"/>
          <w:lang w:eastAsia="zh-CN"/>
        </w:rPr>
        <w:t>属</w:t>
      </w:r>
      <w:r>
        <w:rPr>
          <w:rFonts w:hint="eastAsia" w:ascii="宋体" w:hAnsi="宋体" w:eastAsia="宋体" w:cs="宋体"/>
          <w:sz w:val="32"/>
          <w:szCs w:val="32"/>
        </w:rPr>
        <w:t>全额拨款事业单位。</w:t>
      </w:r>
    </w:p>
    <w:p>
      <w:pPr>
        <w:pStyle w:val="3"/>
        <w:shd w:val="clear" w:color="auto" w:fill="FFFFFF"/>
        <w:spacing w:beforeAutospacing="0" w:afterAutospacing="0" w:line="480" w:lineRule="atLeast"/>
        <w:ind w:left="641"/>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（三）人员编制情况</w:t>
      </w:r>
    </w:p>
    <w:p>
      <w:pPr>
        <w:pStyle w:val="3"/>
        <w:shd w:val="clear" w:color="auto" w:fill="FFFFFF"/>
        <w:spacing w:beforeAutospacing="0" w:afterAutospacing="0" w:line="480" w:lineRule="atLeast"/>
        <w:ind w:firstLine="640" w:firstLineChars="200"/>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2022年末，我部门共有编制</w:t>
      </w:r>
      <w:r>
        <w:rPr>
          <w:rFonts w:hint="eastAsia" w:ascii="宋体" w:hAnsi="宋体" w:cs="宋体"/>
          <w:color w:val="000000"/>
          <w:sz w:val="32"/>
          <w:szCs w:val="32"/>
          <w:shd w:val="clear" w:color="auto" w:fill="FFFFFF"/>
          <w:lang w:val="en-US" w:eastAsia="zh-CN"/>
        </w:rPr>
        <w:t>123</w:t>
      </w:r>
      <w:r>
        <w:rPr>
          <w:rFonts w:hint="eastAsia" w:ascii="宋体" w:hAnsi="宋体" w:eastAsia="宋体" w:cs="宋体"/>
          <w:color w:val="000000"/>
          <w:sz w:val="32"/>
          <w:szCs w:val="32"/>
          <w:shd w:val="clear" w:color="auto" w:fill="FFFFFF"/>
        </w:rPr>
        <w:t>人，其中行政编制</w:t>
      </w:r>
      <w:r>
        <w:rPr>
          <w:rFonts w:hint="eastAsia" w:ascii="宋体" w:hAnsi="宋体" w:eastAsia="宋体" w:cs="宋体"/>
          <w:color w:val="000000"/>
          <w:sz w:val="32"/>
          <w:szCs w:val="32"/>
          <w:shd w:val="clear" w:color="auto" w:fill="FFFFFF"/>
          <w:lang w:val="en-US" w:eastAsia="zh-CN"/>
        </w:rPr>
        <w:t>0</w:t>
      </w:r>
      <w:r>
        <w:rPr>
          <w:rFonts w:hint="eastAsia" w:ascii="宋体" w:hAnsi="宋体" w:eastAsia="宋体" w:cs="宋体"/>
          <w:color w:val="000000"/>
          <w:sz w:val="32"/>
          <w:szCs w:val="32"/>
          <w:shd w:val="clear" w:color="auto" w:fill="FFFFFF"/>
        </w:rPr>
        <w:t>人，事业编制</w:t>
      </w:r>
      <w:r>
        <w:rPr>
          <w:rFonts w:hint="eastAsia" w:ascii="宋体" w:hAnsi="宋体" w:cs="宋体"/>
          <w:color w:val="000000"/>
          <w:sz w:val="32"/>
          <w:szCs w:val="32"/>
          <w:shd w:val="clear" w:color="auto" w:fill="FFFFFF"/>
          <w:lang w:val="en-US" w:eastAsia="zh-CN"/>
        </w:rPr>
        <w:t>123</w:t>
      </w:r>
      <w:r>
        <w:rPr>
          <w:rFonts w:hint="eastAsia" w:ascii="宋体" w:hAnsi="宋体" w:eastAsia="宋体" w:cs="宋体"/>
          <w:color w:val="000000"/>
          <w:sz w:val="32"/>
          <w:szCs w:val="32"/>
          <w:shd w:val="clear" w:color="auto" w:fill="FFFFFF"/>
        </w:rPr>
        <w:t>人。年末实有在职人员</w:t>
      </w:r>
      <w:r>
        <w:rPr>
          <w:rFonts w:hint="eastAsia" w:ascii="宋体" w:hAnsi="宋体" w:cs="宋体"/>
          <w:color w:val="000000"/>
          <w:sz w:val="32"/>
          <w:szCs w:val="32"/>
          <w:shd w:val="clear" w:color="auto" w:fill="FFFFFF"/>
          <w:lang w:val="en-US" w:eastAsia="zh-CN"/>
        </w:rPr>
        <w:t>130</w:t>
      </w:r>
      <w:r>
        <w:rPr>
          <w:rFonts w:hint="eastAsia" w:ascii="宋体" w:hAnsi="宋体" w:eastAsia="宋体" w:cs="宋体"/>
          <w:color w:val="000000"/>
          <w:sz w:val="32"/>
          <w:szCs w:val="32"/>
          <w:shd w:val="clear" w:color="auto" w:fill="FFFFFF"/>
        </w:rPr>
        <w:t>人，退休人员</w:t>
      </w:r>
      <w:r>
        <w:rPr>
          <w:rFonts w:hint="eastAsia" w:ascii="宋体" w:hAnsi="宋体" w:cs="宋体"/>
          <w:color w:val="000000"/>
          <w:sz w:val="32"/>
          <w:szCs w:val="32"/>
          <w:shd w:val="clear" w:color="auto" w:fill="FFFFFF"/>
          <w:lang w:val="en-US" w:eastAsia="zh-CN"/>
        </w:rPr>
        <w:t>0</w:t>
      </w:r>
      <w:r>
        <w:rPr>
          <w:rFonts w:hint="eastAsia" w:ascii="宋体" w:hAnsi="宋体" w:eastAsia="宋体" w:cs="宋体"/>
          <w:color w:val="000000"/>
          <w:sz w:val="32"/>
          <w:szCs w:val="32"/>
          <w:shd w:val="clear" w:color="auto" w:fill="FFFFFF"/>
        </w:rPr>
        <w:t>人，离休人员</w:t>
      </w:r>
      <w:r>
        <w:rPr>
          <w:rFonts w:hint="eastAsia" w:ascii="宋体" w:hAnsi="宋体" w:eastAsia="宋体" w:cs="宋体"/>
          <w:color w:val="000000"/>
          <w:sz w:val="32"/>
          <w:szCs w:val="32"/>
          <w:shd w:val="clear" w:color="auto" w:fill="FFFFFF"/>
          <w:lang w:val="en-US" w:eastAsia="zh-CN"/>
        </w:rPr>
        <w:t>0</w:t>
      </w:r>
      <w:r>
        <w:rPr>
          <w:rFonts w:hint="eastAsia" w:ascii="宋体" w:hAnsi="宋体" w:eastAsia="宋体" w:cs="宋体"/>
          <w:color w:val="000000"/>
          <w:sz w:val="32"/>
          <w:szCs w:val="32"/>
          <w:shd w:val="clear" w:color="auto" w:fill="FFFFFF"/>
        </w:rPr>
        <w:t>人。</w:t>
      </w:r>
    </w:p>
    <w:p>
      <w:pPr>
        <w:pStyle w:val="3"/>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二、一般公共预算支出情况</w:t>
      </w:r>
    </w:p>
    <w:p>
      <w:pPr>
        <w:pStyle w:val="3"/>
        <w:widowControl/>
        <w:shd w:val="clear" w:color="auto" w:fill="FFFFFF"/>
        <w:spacing w:beforeAutospacing="0" w:afterAutospacing="0" w:line="480" w:lineRule="atLeast"/>
        <w:ind w:left="640"/>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（一）基本支出情况</w:t>
      </w:r>
    </w:p>
    <w:p>
      <w:pPr>
        <w:pBdr>
          <w:top w:val="none" w:color="auto" w:sz="0" w:space="1"/>
          <w:left w:val="none" w:color="auto" w:sz="0" w:space="4"/>
          <w:bottom w:val="none" w:color="auto" w:sz="0" w:space="1"/>
          <w:right w:val="none" w:color="auto" w:sz="0" w:space="4"/>
        </w:pBdr>
        <w:snapToGrid w:val="0"/>
        <w:spacing w:line="586" w:lineRule="exact"/>
        <w:ind w:firstLine="640" w:firstLineChars="200"/>
        <w:rPr>
          <w:rFonts w:eastAsia="仿宋_GB2312"/>
          <w:color w:val="0C0C0C"/>
          <w:sz w:val="32"/>
          <w:szCs w:val="32"/>
        </w:rPr>
      </w:pPr>
      <w:r>
        <w:rPr>
          <w:rFonts w:hint="eastAsia" w:ascii="宋体" w:hAnsi="宋体" w:eastAsia="宋体" w:cs="宋体"/>
          <w:color w:val="0C0C0C"/>
          <w:sz w:val="32"/>
          <w:szCs w:val="32"/>
        </w:rPr>
        <w:t>2022年基本支出共计</w:t>
      </w:r>
      <w:r>
        <w:rPr>
          <w:rFonts w:hint="eastAsia" w:ascii="宋体" w:hAnsi="宋体" w:cs="宋体"/>
          <w:color w:val="000000"/>
          <w:kern w:val="0"/>
          <w:sz w:val="32"/>
          <w:szCs w:val="32"/>
          <w:lang w:val="en-US" w:eastAsia="zh-CN"/>
        </w:rPr>
        <w:t>2481.26</w:t>
      </w:r>
      <w:r>
        <w:rPr>
          <w:rFonts w:hint="eastAsia" w:ascii="宋体" w:hAnsi="宋体" w:eastAsia="宋体" w:cs="宋体"/>
          <w:color w:val="0C0C0C"/>
          <w:sz w:val="32"/>
          <w:szCs w:val="32"/>
        </w:rPr>
        <w:t>万元，其中人员经费</w:t>
      </w:r>
      <w:r>
        <w:rPr>
          <w:rFonts w:hint="eastAsia" w:ascii="宋体" w:hAnsi="宋体" w:cs="宋体"/>
          <w:color w:val="0C0C0C"/>
          <w:sz w:val="32"/>
          <w:szCs w:val="32"/>
          <w:lang w:val="en-US" w:eastAsia="zh-CN"/>
        </w:rPr>
        <w:t>1285.67</w:t>
      </w:r>
      <w:r>
        <w:rPr>
          <w:rFonts w:hint="eastAsia" w:ascii="宋体" w:hAnsi="宋体" w:eastAsia="宋体" w:cs="宋体"/>
          <w:color w:val="0C0C0C"/>
          <w:sz w:val="32"/>
          <w:szCs w:val="32"/>
        </w:rPr>
        <w:t>万元，</w:t>
      </w:r>
      <w:r>
        <w:rPr>
          <w:rFonts w:hint="eastAsia" w:ascii="宋体" w:hAnsi="宋体" w:eastAsia="宋体" w:cs="宋体"/>
          <w:color w:val="0C0C0C"/>
          <w:sz w:val="32"/>
          <w:szCs w:val="32"/>
          <w:lang w:eastAsia="zh-CN"/>
        </w:rPr>
        <w:t>公用</w:t>
      </w:r>
      <w:r>
        <w:rPr>
          <w:rFonts w:hint="eastAsia" w:ascii="宋体" w:hAnsi="宋体" w:eastAsia="宋体" w:cs="宋体"/>
          <w:color w:val="0C0C0C"/>
          <w:sz w:val="32"/>
          <w:szCs w:val="32"/>
        </w:rPr>
        <w:t>经费</w:t>
      </w:r>
      <w:r>
        <w:rPr>
          <w:rFonts w:hint="eastAsia" w:ascii="宋体" w:hAnsi="宋体" w:cs="宋体"/>
          <w:color w:val="0C0C0C"/>
          <w:sz w:val="32"/>
          <w:szCs w:val="32"/>
          <w:lang w:val="en-US" w:eastAsia="zh-CN"/>
        </w:rPr>
        <w:t>1195.59</w:t>
      </w:r>
      <w:r>
        <w:rPr>
          <w:rFonts w:hint="eastAsia" w:ascii="宋体" w:hAnsi="宋体" w:eastAsia="宋体" w:cs="宋体"/>
          <w:color w:val="0C0C0C"/>
          <w:sz w:val="32"/>
          <w:szCs w:val="32"/>
        </w:rPr>
        <w:t>万元。</w:t>
      </w:r>
    </w:p>
    <w:p>
      <w:pPr>
        <w:pBdr>
          <w:top w:val="none" w:color="auto" w:sz="0" w:space="1"/>
          <w:left w:val="none" w:color="auto" w:sz="0" w:space="4"/>
          <w:bottom w:val="none" w:color="auto" w:sz="0" w:space="1"/>
          <w:right w:val="none" w:color="auto" w:sz="0" w:space="4"/>
        </w:pBdr>
        <w:snapToGrid w:val="0"/>
        <w:spacing w:line="586" w:lineRule="exact"/>
        <w:ind w:firstLine="643" w:firstLineChars="200"/>
        <w:rPr>
          <w:rFonts w:hint="eastAsia" w:ascii="宋体" w:hAnsi="宋体" w:eastAsia="宋体" w:cs="宋体"/>
          <w:color w:val="0C0C0C"/>
          <w:sz w:val="32"/>
          <w:szCs w:val="32"/>
        </w:rPr>
      </w:pPr>
      <w:r>
        <w:rPr>
          <w:rFonts w:hint="eastAsia" w:ascii="仿宋" w:hAnsi="仿宋" w:eastAsia="仿宋" w:cs="仿宋"/>
          <w:b/>
          <w:bCs/>
          <w:color w:val="0C0C0C"/>
          <w:sz w:val="32"/>
          <w:szCs w:val="32"/>
        </w:rPr>
        <w:t>1.人员经费</w:t>
      </w:r>
      <w:r>
        <w:rPr>
          <w:rFonts w:hint="eastAsia" w:ascii="宋体" w:hAnsi="宋体" w:cs="宋体"/>
          <w:color w:val="0C0C0C"/>
          <w:sz w:val="32"/>
          <w:szCs w:val="32"/>
          <w:lang w:val="en-US" w:eastAsia="zh-CN"/>
        </w:rPr>
        <w:t>1285.67</w:t>
      </w:r>
      <w:r>
        <w:rPr>
          <w:rFonts w:hint="eastAsia" w:ascii="仿宋" w:hAnsi="仿宋" w:eastAsia="仿宋" w:cs="仿宋"/>
          <w:b/>
          <w:bCs/>
          <w:color w:val="0C0C0C"/>
          <w:sz w:val="32"/>
          <w:szCs w:val="32"/>
        </w:rPr>
        <w:t>万元。</w:t>
      </w:r>
      <w:r>
        <w:rPr>
          <w:rFonts w:hint="eastAsia" w:ascii="宋体" w:hAnsi="宋体" w:eastAsia="宋体" w:cs="宋体"/>
          <w:color w:val="0C0C0C"/>
          <w:sz w:val="32"/>
          <w:szCs w:val="32"/>
        </w:rPr>
        <w:t>主要用于在职人员工资津补贴、奖金、离休费、社保缴费、住房公积金缴费、老干医疗费、抚恤金等。人员经费支出严格按照相关政策和标准列支。</w:t>
      </w:r>
    </w:p>
    <w:p>
      <w:pPr>
        <w:pBdr>
          <w:top w:val="none" w:color="auto" w:sz="0" w:space="1"/>
          <w:left w:val="none" w:color="auto" w:sz="0" w:space="4"/>
          <w:bottom w:val="none" w:color="auto" w:sz="0" w:space="1"/>
          <w:right w:val="none" w:color="auto" w:sz="0" w:space="4"/>
        </w:pBdr>
        <w:snapToGrid w:val="0"/>
        <w:spacing w:line="586" w:lineRule="exact"/>
        <w:ind w:firstLine="643" w:firstLineChars="200"/>
        <w:rPr>
          <w:rFonts w:hint="eastAsia" w:ascii="宋体" w:hAnsi="宋体" w:eastAsia="宋体" w:cs="宋体"/>
          <w:color w:val="0C0C0C"/>
          <w:sz w:val="32"/>
          <w:szCs w:val="32"/>
        </w:rPr>
      </w:pPr>
      <w:r>
        <w:rPr>
          <w:rFonts w:ascii="仿宋" w:hAnsi="仿宋" w:eastAsia="仿宋" w:cs="仿宋"/>
          <w:b/>
          <w:bCs/>
          <w:color w:val="0C0C0C"/>
          <w:sz w:val="32"/>
          <w:szCs w:val="32"/>
        </w:rPr>
        <w:t>2</w:t>
      </w:r>
      <w:r>
        <w:rPr>
          <w:rFonts w:hint="eastAsia" w:ascii="仿宋" w:hAnsi="仿宋" w:eastAsia="仿宋" w:cs="仿宋"/>
          <w:b/>
          <w:bCs/>
          <w:color w:val="0C0C0C"/>
          <w:sz w:val="32"/>
          <w:szCs w:val="32"/>
        </w:rPr>
        <w:t>.</w:t>
      </w:r>
      <w:r>
        <w:rPr>
          <w:rFonts w:ascii="仿宋" w:hAnsi="仿宋" w:eastAsia="仿宋" w:cs="仿宋"/>
          <w:b/>
          <w:bCs/>
          <w:color w:val="0C0C0C"/>
          <w:sz w:val="32"/>
          <w:szCs w:val="32"/>
        </w:rPr>
        <w:t>公用经费</w:t>
      </w:r>
      <w:r>
        <w:rPr>
          <w:rFonts w:hint="eastAsia" w:ascii="宋体" w:hAnsi="宋体" w:cs="宋体"/>
          <w:color w:val="0C0C0C"/>
          <w:sz w:val="32"/>
          <w:szCs w:val="32"/>
          <w:lang w:val="en-US" w:eastAsia="zh-CN"/>
        </w:rPr>
        <w:t>1195.59</w:t>
      </w:r>
      <w:r>
        <w:rPr>
          <w:rFonts w:ascii="仿宋" w:hAnsi="仿宋" w:eastAsia="仿宋" w:cs="仿宋"/>
          <w:b/>
          <w:bCs/>
          <w:color w:val="0C0C0C"/>
          <w:sz w:val="32"/>
          <w:szCs w:val="32"/>
        </w:rPr>
        <w:t>万元。</w:t>
      </w:r>
      <w:r>
        <w:rPr>
          <w:rFonts w:hint="eastAsia" w:ascii="宋体" w:hAnsi="宋体" w:eastAsia="宋体" w:cs="宋体"/>
          <w:color w:val="0C0C0C"/>
          <w:sz w:val="32"/>
          <w:szCs w:val="32"/>
        </w:rPr>
        <w:t>主要用于为保障基本运行而发生的办公费、印刷费、邮电费、水费、电费、物业管理费、取暖费、维修费、差旅费等。公用经费支出严格执行部门预算，厉行节约，控制运行成本。</w:t>
      </w:r>
    </w:p>
    <w:p>
      <w:pPr>
        <w:pStyle w:val="3"/>
        <w:widowControl/>
        <w:shd w:val="clear" w:color="auto" w:fill="FFFFFF"/>
        <w:spacing w:beforeAutospacing="0" w:afterAutospacing="0" w:line="480" w:lineRule="atLeast"/>
        <w:ind w:left="640"/>
        <w:jc w:val="both"/>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（二）项目支出情况</w:t>
      </w:r>
    </w:p>
    <w:p>
      <w:pPr>
        <w:pBdr>
          <w:top w:val="none" w:color="auto" w:sz="0" w:space="1"/>
          <w:left w:val="none" w:color="auto" w:sz="0" w:space="4"/>
          <w:bottom w:val="none" w:color="auto" w:sz="0" w:space="1"/>
          <w:right w:val="none" w:color="auto" w:sz="0" w:space="4"/>
        </w:pBdr>
        <w:snapToGrid w:val="0"/>
        <w:spacing w:line="586" w:lineRule="exact"/>
        <w:ind w:firstLine="640" w:firstLineChars="200"/>
        <w:rPr>
          <w:rFonts w:hint="eastAsia" w:ascii="宋体" w:hAnsi="宋体" w:eastAsia="宋体" w:cs="宋体"/>
          <w:color w:val="0C0C0C"/>
          <w:sz w:val="32"/>
          <w:szCs w:val="32"/>
        </w:rPr>
      </w:pPr>
      <w:r>
        <w:rPr>
          <w:rFonts w:hint="eastAsia" w:ascii="宋体" w:hAnsi="宋体" w:eastAsia="宋体" w:cs="宋体"/>
          <w:color w:val="0C0C0C"/>
          <w:sz w:val="32"/>
          <w:szCs w:val="32"/>
        </w:rPr>
        <w:t>2022年项目支出共计</w:t>
      </w:r>
      <w:r>
        <w:rPr>
          <w:rFonts w:hint="eastAsia" w:ascii="宋体" w:hAnsi="宋体" w:eastAsia="宋体" w:cs="宋体"/>
          <w:color w:val="000000"/>
          <w:kern w:val="0"/>
          <w:sz w:val="32"/>
          <w:szCs w:val="32"/>
          <w:lang w:val="en-US" w:eastAsia="zh-CN"/>
        </w:rPr>
        <w:t>0</w:t>
      </w:r>
      <w:r>
        <w:rPr>
          <w:rFonts w:hint="eastAsia" w:ascii="宋体" w:hAnsi="宋体" w:eastAsia="宋体" w:cs="宋体"/>
          <w:color w:val="0C0C0C"/>
          <w:sz w:val="32"/>
          <w:szCs w:val="32"/>
        </w:rPr>
        <w:t>万元，其中业务工作经费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C0C0C"/>
          <w:sz w:val="32"/>
          <w:szCs w:val="32"/>
        </w:rPr>
        <w:t>万元，运行维护经费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C0C0C"/>
          <w:sz w:val="32"/>
          <w:szCs w:val="32"/>
        </w:rPr>
        <w:t>万元，专项资金</w:t>
      </w:r>
      <w:r>
        <w:rPr>
          <w:rFonts w:hint="eastAsia" w:ascii="宋体" w:hAnsi="宋体" w:eastAsia="宋体" w:cs="宋体"/>
          <w:color w:val="000000"/>
          <w:kern w:val="0"/>
          <w:sz w:val="32"/>
          <w:szCs w:val="32"/>
          <w:lang w:val="en-US" w:eastAsia="zh-CN"/>
        </w:rPr>
        <w:t>0</w:t>
      </w:r>
      <w:r>
        <w:rPr>
          <w:rFonts w:hint="eastAsia" w:ascii="宋体" w:hAnsi="宋体" w:eastAsia="宋体" w:cs="宋体"/>
          <w:color w:val="0C0C0C"/>
          <w:sz w:val="32"/>
          <w:szCs w:val="32"/>
        </w:rPr>
        <w:t>万元。</w:t>
      </w:r>
    </w:p>
    <w:p>
      <w:pPr>
        <w:pBdr>
          <w:top w:val="none" w:color="auto" w:sz="0" w:space="1"/>
          <w:left w:val="none" w:color="auto" w:sz="0" w:space="4"/>
          <w:bottom w:val="none" w:color="auto" w:sz="0" w:space="1"/>
          <w:right w:val="none" w:color="auto" w:sz="0" w:space="4"/>
        </w:pBdr>
        <w:snapToGrid w:val="0"/>
        <w:spacing w:line="586" w:lineRule="exact"/>
        <w:ind w:firstLine="643" w:firstLineChars="200"/>
        <w:rPr>
          <w:rFonts w:ascii="仿宋" w:hAnsi="仿宋" w:eastAsia="仿宋" w:cs="仿宋"/>
          <w:color w:val="0C0C0C"/>
          <w:sz w:val="32"/>
          <w:szCs w:val="32"/>
        </w:rPr>
      </w:pPr>
      <w:r>
        <w:rPr>
          <w:rFonts w:ascii="仿宋" w:hAnsi="仿宋" w:eastAsia="仿宋" w:cs="仿宋"/>
          <w:b/>
          <w:bCs/>
          <w:color w:val="0C0C0C"/>
          <w:sz w:val="32"/>
          <w:szCs w:val="32"/>
        </w:rPr>
        <w:t>1</w:t>
      </w:r>
      <w:r>
        <w:rPr>
          <w:rFonts w:hint="eastAsia" w:ascii="仿宋" w:hAnsi="仿宋" w:eastAsia="仿宋" w:cs="仿宋"/>
          <w:b/>
          <w:bCs/>
          <w:color w:val="0C0C0C"/>
          <w:sz w:val="32"/>
          <w:szCs w:val="32"/>
        </w:rPr>
        <w:t>.</w:t>
      </w:r>
      <w:r>
        <w:rPr>
          <w:rFonts w:ascii="仿宋" w:hAnsi="仿宋" w:eastAsia="仿宋" w:cs="仿宋"/>
          <w:b/>
          <w:bCs/>
          <w:color w:val="0C0C0C"/>
          <w:sz w:val="32"/>
          <w:szCs w:val="32"/>
        </w:rPr>
        <w:t>业务工作经费</w:t>
      </w:r>
      <w:r>
        <w:rPr>
          <w:rFonts w:hint="eastAsia" w:ascii="仿宋" w:hAnsi="仿宋" w:eastAsia="仿宋" w:cs="仿宋"/>
          <w:b/>
          <w:bCs/>
          <w:color w:val="0C0C0C"/>
          <w:sz w:val="32"/>
          <w:szCs w:val="32"/>
          <w:lang w:val="en-US" w:eastAsia="zh-CN"/>
        </w:rPr>
        <w:t>0</w:t>
      </w:r>
      <w:r>
        <w:rPr>
          <w:rFonts w:ascii="仿宋" w:hAnsi="仿宋" w:eastAsia="仿宋" w:cs="仿宋"/>
          <w:b/>
          <w:bCs/>
          <w:color w:val="0C0C0C"/>
          <w:sz w:val="32"/>
          <w:szCs w:val="32"/>
        </w:rPr>
        <w:t>万元</w:t>
      </w:r>
      <w:r>
        <w:rPr>
          <w:rFonts w:hint="eastAsia" w:ascii="仿宋" w:hAnsi="仿宋" w:eastAsia="仿宋" w:cs="仿宋"/>
          <w:b/>
          <w:bCs/>
          <w:color w:val="0C0C0C"/>
          <w:sz w:val="32"/>
          <w:szCs w:val="32"/>
        </w:rPr>
        <w:t>。</w:t>
      </w:r>
    </w:p>
    <w:p>
      <w:pPr>
        <w:pBdr>
          <w:top w:val="none" w:color="auto" w:sz="0" w:space="1"/>
          <w:left w:val="none" w:color="auto" w:sz="0" w:space="4"/>
          <w:bottom w:val="none" w:color="auto" w:sz="0" w:space="1"/>
          <w:right w:val="none" w:color="auto" w:sz="0" w:space="4"/>
        </w:pBdr>
        <w:snapToGrid w:val="0"/>
        <w:spacing w:line="586" w:lineRule="exact"/>
        <w:ind w:firstLine="643" w:firstLineChars="200"/>
        <w:rPr>
          <w:rFonts w:hint="eastAsia" w:ascii="仿宋" w:hAnsi="仿宋" w:eastAsia="仿宋" w:cs="仿宋"/>
          <w:b/>
          <w:bCs/>
          <w:color w:val="0C0C0C"/>
          <w:sz w:val="32"/>
          <w:szCs w:val="32"/>
        </w:rPr>
      </w:pPr>
      <w:r>
        <w:rPr>
          <w:rFonts w:ascii="仿宋" w:hAnsi="仿宋" w:eastAsia="仿宋" w:cs="仿宋"/>
          <w:b/>
          <w:bCs/>
          <w:color w:val="0C0C0C"/>
          <w:sz w:val="32"/>
          <w:szCs w:val="32"/>
        </w:rPr>
        <w:t>2</w:t>
      </w:r>
      <w:r>
        <w:rPr>
          <w:rFonts w:hint="eastAsia" w:ascii="仿宋" w:hAnsi="仿宋" w:eastAsia="仿宋" w:cs="仿宋"/>
          <w:b/>
          <w:bCs/>
          <w:color w:val="0C0C0C"/>
          <w:sz w:val="32"/>
          <w:szCs w:val="32"/>
        </w:rPr>
        <w:t>.运行维护</w:t>
      </w:r>
      <w:r>
        <w:rPr>
          <w:rFonts w:ascii="仿宋" w:hAnsi="仿宋" w:eastAsia="仿宋" w:cs="仿宋"/>
          <w:b/>
          <w:bCs/>
          <w:color w:val="0C0C0C"/>
          <w:sz w:val="32"/>
          <w:szCs w:val="32"/>
        </w:rPr>
        <w:t>经费</w:t>
      </w:r>
      <w:r>
        <w:rPr>
          <w:rFonts w:hint="eastAsia" w:ascii="仿宋" w:hAnsi="仿宋" w:eastAsia="仿宋" w:cs="仿宋"/>
          <w:b/>
          <w:bCs/>
          <w:color w:val="0C0C0C"/>
          <w:sz w:val="32"/>
          <w:szCs w:val="32"/>
          <w:lang w:val="en-US" w:eastAsia="zh-CN"/>
        </w:rPr>
        <w:t>0</w:t>
      </w:r>
      <w:r>
        <w:rPr>
          <w:rFonts w:ascii="仿宋" w:hAnsi="仿宋" w:eastAsia="仿宋" w:cs="仿宋"/>
          <w:b/>
          <w:bCs/>
          <w:color w:val="0C0C0C"/>
          <w:sz w:val="32"/>
          <w:szCs w:val="32"/>
        </w:rPr>
        <w:t>万元</w:t>
      </w:r>
      <w:r>
        <w:rPr>
          <w:rFonts w:hint="eastAsia" w:ascii="仿宋" w:hAnsi="仿宋" w:eastAsia="仿宋" w:cs="仿宋"/>
          <w:b/>
          <w:bCs/>
          <w:color w:val="0C0C0C"/>
          <w:sz w:val="32"/>
          <w:szCs w:val="32"/>
        </w:rPr>
        <w:t>。</w:t>
      </w:r>
    </w:p>
    <w:p>
      <w:pPr>
        <w:autoSpaceDN w:val="0"/>
        <w:ind w:firstLine="643" w:firstLineChars="200"/>
        <w:rPr>
          <w:rFonts w:hint="eastAsia" w:ascii="宋体" w:hAnsi="宋体" w:eastAsia="宋体" w:cs="宋体"/>
          <w:color w:val="010101"/>
          <w:sz w:val="32"/>
          <w:szCs w:val="32"/>
          <w:lang w:eastAsia="zh-CN"/>
        </w:rPr>
      </w:pPr>
      <w:r>
        <w:rPr>
          <w:rFonts w:hint="eastAsia" w:ascii="仿宋" w:hAnsi="仿宋" w:eastAsia="仿宋" w:cs="仿宋"/>
          <w:b/>
          <w:bCs/>
          <w:color w:val="0C0C0C"/>
          <w:sz w:val="32"/>
          <w:szCs w:val="32"/>
        </w:rPr>
        <w:t>3.上级专项资金</w:t>
      </w:r>
      <w:r>
        <w:rPr>
          <w:rFonts w:hint="eastAsia" w:ascii="仿宋" w:hAnsi="仿宋" w:eastAsia="仿宋" w:cs="仿宋"/>
          <w:b/>
          <w:bCs/>
          <w:color w:val="0C0C0C"/>
          <w:sz w:val="32"/>
          <w:szCs w:val="32"/>
          <w:lang w:val="en-US" w:eastAsia="zh-CN"/>
        </w:rPr>
        <w:t>0</w:t>
      </w:r>
      <w:r>
        <w:rPr>
          <w:rFonts w:ascii="仿宋" w:hAnsi="仿宋" w:eastAsia="仿宋" w:cs="仿宋"/>
          <w:b/>
          <w:bCs/>
          <w:color w:val="0C0C0C"/>
          <w:sz w:val="32"/>
          <w:szCs w:val="32"/>
        </w:rPr>
        <w:t>万元</w:t>
      </w:r>
      <w:r>
        <w:rPr>
          <w:rFonts w:hint="eastAsia" w:ascii="仿宋" w:hAnsi="仿宋" w:eastAsia="仿宋" w:cs="仿宋"/>
          <w:b/>
          <w:bCs/>
          <w:color w:val="0C0C0C"/>
          <w:sz w:val="32"/>
          <w:szCs w:val="32"/>
        </w:rPr>
        <w:t>。</w:t>
      </w:r>
    </w:p>
    <w:p>
      <w:pPr>
        <w:pStyle w:val="3"/>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三、政府性基金预算支出情况</w:t>
      </w:r>
    </w:p>
    <w:p>
      <w:pPr>
        <w:pBdr>
          <w:top w:val="none" w:color="auto" w:sz="0" w:space="1"/>
          <w:left w:val="none" w:color="auto" w:sz="0" w:space="4"/>
          <w:bottom w:val="none" w:color="auto" w:sz="0" w:space="1"/>
          <w:right w:val="none" w:color="auto" w:sz="0" w:space="4"/>
        </w:pBdr>
        <w:snapToGrid w:val="0"/>
        <w:spacing w:line="586" w:lineRule="exact"/>
        <w:ind w:firstLine="640" w:firstLineChars="200"/>
        <w:rPr>
          <w:rFonts w:ascii="黑体" w:hAnsi="黑体" w:eastAsia="黑体" w:cs="黑体"/>
          <w:color w:val="000000"/>
          <w:sz w:val="32"/>
          <w:szCs w:val="32"/>
          <w:shd w:val="clear" w:color="auto" w:fill="FFFFFF"/>
        </w:rPr>
      </w:pPr>
      <w:r>
        <w:rPr>
          <w:rFonts w:hint="eastAsia" w:ascii="宋体" w:hAnsi="宋体" w:eastAsia="宋体" w:cs="宋体"/>
          <w:color w:val="0C0C0C"/>
          <w:sz w:val="32"/>
          <w:szCs w:val="32"/>
        </w:rPr>
        <w:t>2022年度</w:t>
      </w:r>
      <w:r>
        <w:rPr>
          <w:rFonts w:hint="eastAsia" w:ascii="宋体" w:hAnsi="宋体" w:cs="宋体"/>
          <w:color w:val="0C0C0C"/>
          <w:sz w:val="32"/>
          <w:szCs w:val="32"/>
          <w:lang w:eastAsia="zh-CN"/>
        </w:rPr>
        <w:t>无</w:t>
      </w:r>
      <w:r>
        <w:rPr>
          <w:rFonts w:hint="eastAsia" w:ascii="宋体" w:hAnsi="宋体" w:eastAsia="宋体" w:cs="宋体"/>
          <w:color w:val="0C0C0C"/>
          <w:sz w:val="32"/>
          <w:szCs w:val="32"/>
        </w:rPr>
        <w:t>政府性基金预算支出。</w:t>
      </w:r>
    </w:p>
    <w:p>
      <w:pPr>
        <w:pStyle w:val="3"/>
        <w:widowControl/>
        <w:numPr>
          <w:ilvl w:val="0"/>
          <w:numId w:val="3"/>
        </w:numPr>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国有资本经营预算支出情况</w:t>
      </w:r>
    </w:p>
    <w:p>
      <w:pPr>
        <w:pBdr>
          <w:top w:val="none" w:color="auto" w:sz="0" w:space="1"/>
          <w:left w:val="none" w:color="auto" w:sz="0" w:space="4"/>
          <w:bottom w:val="none" w:color="auto" w:sz="0" w:space="1"/>
          <w:right w:val="none" w:color="auto" w:sz="0" w:space="4"/>
        </w:pBdr>
        <w:snapToGrid w:val="0"/>
        <w:spacing w:line="586" w:lineRule="exact"/>
        <w:ind w:firstLine="640" w:firstLineChars="200"/>
        <w:rPr>
          <w:rFonts w:hint="eastAsia" w:ascii="宋体" w:hAnsi="宋体" w:eastAsia="宋体" w:cs="宋体"/>
          <w:color w:val="0C0C0C"/>
          <w:sz w:val="32"/>
          <w:szCs w:val="32"/>
        </w:rPr>
      </w:pPr>
      <w:r>
        <w:rPr>
          <w:rFonts w:hint="eastAsia" w:ascii="宋体" w:hAnsi="宋体" w:eastAsia="宋体" w:cs="宋体"/>
          <w:color w:val="0C0C0C"/>
          <w:sz w:val="32"/>
          <w:szCs w:val="32"/>
        </w:rPr>
        <w:t>2022年度</w:t>
      </w:r>
      <w:r>
        <w:rPr>
          <w:rFonts w:hint="eastAsia" w:ascii="宋体" w:hAnsi="宋体" w:eastAsia="宋体" w:cs="宋体"/>
          <w:color w:val="FF0000"/>
          <w:sz w:val="32"/>
          <w:szCs w:val="32"/>
        </w:rPr>
        <w:t>无</w:t>
      </w:r>
      <w:r>
        <w:rPr>
          <w:rFonts w:hint="eastAsia" w:ascii="宋体" w:hAnsi="宋体" w:eastAsia="宋体" w:cs="宋体"/>
          <w:color w:val="0C0C0C"/>
          <w:sz w:val="32"/>
          <w:szCs w:val="32"/>
        </w:rPr>
        <w:t>国有资本经营预算支出。</w:t>
      </w:r>
    </w:p>
    <w:p>
      <w:pPr>
        <w:pStyle w:val="3"/>
        <w:widowControl/>
        <w:numPr>
          <w:ilvl w:val="0"/>
          <w:numId w:val="3"/>
        </w:numPr>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社会保险基金预算支出情况</w:t>
      </w:r>
    </w:p>
    <w:p>
      <w:pPr>
        <w:widowControl/>
        <w:ind w:firstLine="640" w:firstLineChars="200"/>
        <w:jc w:val="left"/>
        <w:rPr>
          <w:rFonts w:hint="eastAsia" w:ascii="宋体" w:hAnsi="宋体" w:eastAsia="宋体" w:cs="宋体"/>
          <w:color w:val="000000"/>
          <w:sz w:val="32"/>
          <w:szCs w:val="32"/>
          <w:shd w:val="clear" w:color="auto" w:fill="FFFFFF"/>
        </w:rPr>
      </w:pPr>
      <w:r>
        <w:rPr>
          <w:rFonts w:hint="eastAsia" w:ascii="宋体" w:hAnsi="宋体" w:eastAsia="宋体" w:cs="宋体"/>
          <w:color w:val="0C0C0C"/>
          <w:sz w:val="32"/>
          <w:szCs w:val="32"/>
        </w:rPr>
        <w:t>2022年度</w:t>
      </w:r>
      <w:r>
        <w:rPr>
          <w:rFonts w:hint="eastAsia" w:ascii="宋体" w:hAnsi="宋体" w:eastAsia="宋体" w:cs="宋体"/>
          <w:color w:val="FF0000"/>
          <w:sz w:val="32"/>
          <w:szCs w:val="32"/>
        </w:rPr>
        <w:t>无</w:t>
      </w:r>
      <w:r>
        <w:rPr>
          <w:rFonts w:hint="eastAsia" w:ascii="宋体" w:hAnsi="宋体" w:eastAsia="宋体" w:cs="宋体"/>
          <w:color w:val="0C0C0C"/>
          <w:sz w:val="32"/>
          <w:szCs w:val="32"/>
        </w:rPr>
        <w:t>社会保险基金预算支出。</w:t>
      </w:r>
    </w:p>
    <w:p>
      <w:pPr>
        <w:pStyle w:val="3"/>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六、部门整体支出绩效情况</w:t>
      </w:r>
    </w:p>
    <w:p>
      <w:pPr>
        <w:pStyle w:val="3"/>
        <w:widowControl/>
        <w:shd w:val="clear" w:color="auto" w:fill="FFFFFF"/>
        <w:spacing w:beforeAutospacing="0" w:afterAutospacing="0" w:line="480" w:lineRule="atLeast"/>
        <w:ind w:firstLine="645"/>
        <w:jc w:val="both"/>
        <w:rPr>
          <w:rFonts w:hint="eastAsia" w:ascii="宋体" w:hAnsi="宋体" w:eastAsia="宋体" w:cs="宋体"/>
          <w:color w:val="0C0C0C"/>
          <w:kern w:val="2"/>
          <w:sz w:val="32"/>
          <w:szCs w:val="32"/>
        </w:rPr>
      </w:pPr>
      <w:r>
        <w:rPr>
          <w:rFonts w:hint="eastAsia" w:ascii="宋体" w:hAnsi="宋体" w:eastAsia="宋体" w:cs="宋体"/>
          <w:color w:val="0C0C0C"/>
          <w:kern w:val="2"/>
          <w:sz w:val="32"/>
          <w:szCs w:val="32"/>
        </w:rPr>
        <w:t>2022年，在县委、县政府的领导下，坚持依法行政、执法为民，稳中求进，改革创新，积极作为，突出抓改革强监管促发展，各方面工作稳步推进。根据部门整体支出绩效自评评分（详见附件2），得分</w:t>
      </w:r>
      <w:r>
        <w:rPr>
          <w:rFonts w:hint="eastAsia" w:ascii="宋体" w:hAnsi="宋体" w:cs="宋体"/>
          <w:color w:val="0C0C0C"/>
          <w:sz w:val="32"/>
          <w:szCs w:val="32"/>
          <w:lang w:val="en-US" w:eastAsia="zh-CN"/>
        </w:rPr>
        <w:t>90</w:t>
      </w:r>
      <w:r>
        <w:rPr>
          <w:rFonts w:hint="eastAsia" w:ascii="宋体" w:hAnsi="宋体" w:eastAsia="宋体" w:cs="宋体"/>
          <w:color w:val="0C0C0C"/>
          <w:kern w:val="2"/>
          <w:sz w:val="32"/>
          <w:szCs w:val="32"/>
        </w:rPr>
        <w:t>分，部门整体支出绩效为“</w:t>
      </w:r>
      <w:r>
        <w:rPr>
          <w:rFonts w:hint="eastAsia" w:ascii="宋体" w:hAnsi="宋体" w:cs="宋体"/>
          <w:color w:val="0C0C0C"/>
          <w:kern w:val="2"/>
          <w:sz w:val="32"/>
          <w:szCs w:val="32"/>
          <w:lang w:eastAsia="zh-CN"/>
        </w:rPr>
        <w:t>优</w:t>
      </w:r>
      <w:r>
        <w:rPr>
          <w:rFonts w:hint="eastAsia" w:ascii="宋体" w:hAnsi="宋体" w:eastAsia="宋体" w:cs="宋体"/>
          <w:color w:val="0C0C0C"/>
          <w:kern w:val="2"/>
          <w:sz w:val="32"/>
          <w:szCs w:val="32"/>
        </w:rPr>
        <w:t>”。主要绩效如下：</w:t>
      </w:r>
    </w:p>
    <w:p>
      <w:pPr>
        <w:snapToGrid w:val="0"/>
        <w:spacing w:line="520" w:lineRule="exact"/>
        <w:ind w:firstLine="640" w:firstLineChars="200"/>
        <w:rPr>
          <w:rFonts w:ascii="仿宋" w:eastAsia="仿宋" w:cs="仿宋"/>
          <w:sz w:val="32"/>
          <w:szCs w:val="32"/>
        </w:rPr>
      </w:pPr>
      <w:r>
        <w:rPr>
          <w:rFonts w:hint="eastAsia" w:ascii="仿宋" w:eastAsia="仿宋" w:cs="仿宋"/>
          <w:sz w:val="32"/>
          <w:szCs w:val="32"/>
        </w:rPr>
        <w:t>1.加强教师的政治思想素质的提高，我校利用政治业务学习机会组织教师学习文件精神，并对教师进行爱岗敬业的教育，树立热爱教师行业，热爱学生，并且树立终身从教的奉献精神。</w:t>
      </w:r>
    </w:p>
    <w:p>
      <w:pPr>
        <w:snapToGrid w:val="0"/>
        <w:spacing w:line="520" w:lineRule="exact"/>
        <w:ind w:firstLine="640" w:firstLineChars="200"/>
        <w:rPr>
          <w:rFonts w:ascii="仿宋" w:eastAsia="仿宋" w:cs="仿宋"/>
          <w:sz w:val="32"/>
          <w:szCs w:val="32"/>
        </w:rPr>
      </w:pPr>
      <w:r>
        <w:rPr>
          <w:rFonts w:hint="eastAsia" w:ascii="仿宋" w:eastAsia="仿宋" w:cs="仿宋"/>
          <w:sz w:val="32"/>
          <w:szCs w:val="32"/>
        </w:rPr>
        <w:t>2.在假期中，用心组织我校教师进行继续教育的学习和各年级各学科的新课程培训工作。增强了我校教师的专业水平和职业化水平。</w:t>
      </w:r>
    </w:p>
    <w:p>
      <w:pPr>
        <w:snapToGrid w:val="0"/>
        <w:spacing w:line="520" w:lineRule="exact"/>
        <w:ind w:firstLine="640" w:firstLineChars="200"/>
        <w:rPr>
          <w:rFonts w:ascii="仿宋" w:eastAsia="仿宋" w:cs="仿宋"/>
          <w:sz w:val="32"/>
          <w:szCs w:val="32"/>
        </w:rPr>
      </w:pPr>
      <w:r>
        <w:rPr>
          <w:rFonts w:hint="eastAsia" w:ascii="仿宋" w:eastAsia="仿宋" w:cs="仿宋"/>
          <w:sz w:val="32"/>
          <w:szCs w:val="32"/>
        </w:rPr>
        <w:t>3.德育工作，我校以各年级为德育教育小组，各班主任落实德育首位，充分利用周会课对学生进行爱祖国，爱家乡，爱学校，爱班群众等教育。加强学生思想品德的教育，为学生成才树立远大的理想。</w:t>
      </w:r>
    </w:p>
    <w:p>
      <w:pPr>
        <w:snapToGrid w:val="0"/>
        <w:spacing w:line="520" w:lineRule="exact"/>
        <w:ind w:firstLine="640" w:firstLineChars="200"/>
        <w:rPr>
          <w:rFonts w:ascii="仿宋" w:eastAsia="仿宋" w:cs="仿宋"/>
          <w:sz w:val="32"/>
          <w:szCs w:val="32"/>
        </w:rPr>
      </w:pPr>
      <w:r>
        <w:rPr>
          <w:rFonts w:hint="eastAsia" w:ascii="仿宋" w:eastAsia="仿宋" w:cs="仿宋"/>
          <w:sz w:val="32"/>
          <w:szCs w:val="32"/>
        </w:rPr>
        <w:t>4.安全工作，安全工作的重要性不亚于教学工作。时时处处渗透安全教育。一是开学初，就向所有认课老师、班主任、分管人员层层签订了职责书。二是借国旗下的讲话，向学生宣读有关安全方面的资料，并做了超多的安全知识宣传展本。三是安全小组经常检查学校的安全隐患，尽力做到防患于未然，做好各种安全会议记录和检查记录。</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5.教育工作，教学为中心，管理是根本。在教学工作中，实行量化管理，科学评价教师的各项工作，从备课、课堂教学、早操、课间操、作业的批改、教学成绩、教育效果等方面对教师进行全面考核，作为教师评优的依据。透过考核，激励先进，鞭策落后，奖优罚劣，大大地提高了教师的工作用心性，为提高教育教学质量打下了坚实的基础</w:t>
      </w:r>
    </w:p>
    <w:p>
      <w:pPr>
        <w:pStyle w:val="3"/>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七、存在的问题及原因分析</w:t>
      </w:r>
    </w:p>
    <w:p>
      <w:pPr>
        <w:autoSpaceDN w:val="0"/>
        <w:ind w:firstLine="640"/>
        <w:outlineLvl w:val="0"/>
        <w:rPr>
          <w:rFonts w:hint="eastAsia" w:ascii="宋体" w:hAnsi="宋体" w:eastAsia="宋体" w:cs="宋体"/>
          <w:color w:val="010101"/>
          <w:sz w:val="32"/>
          <w:szCs w:val="32"/>
        </w:rPr>
      </w:pPr>
      <w:r>
        <w:rPr>
          <w:rFonts w:hint="eastAsia" w:ascii="宋体" w:hAnsi="宋体" w:eastAsia="宋体" w:cs="宋体"/>
          <w:color w:val="010101"/>
          <w:sz w:val="32"/>
          <w:szCs w:val="32"/>
        </w:rPr>
        <w:t xml:space="preserve">（一）预算执行 </w:t>
      </w:r>
    </w:p>
    <w:p>
      <w:pPr>
        <w:autoSpaceDN w:val="0"/>
        <w:ind w:firstLine="640"/>
        <w:outlineLvl w:val="0"/>
        <w:rPr>
          <w:rFonts w:hint="eastAsia" w:ascii="宋体" w:hAnsi="宋体" w:eastAsia="宋体" w:cs="宋体"/>
          <w:color w:val="010101"/>
          <w:sz w:val="32"/>
          <w:szCs w:val="32"/>
        </w:rPr>
      </w:pPr>
      <w:r>
        <w:rPr>
          <w:rFonts w:hint="eastAsia" w:ascii="宋体" w:hAnsi="宋体" w:eastAsia="宋体" w:cs="宋体"/>
          <w:sz w:val="32"/>
          <w:szCs w:val="32"/>
        </w:rPr>
        <w:t>加强预算编制的前瞻性，建议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numPr>
          <w:ilvl w:val="0"/>
          <w:numId w:val="4"/>
        </w:numPr>
        <w:autoSpaceDN w:val="0"/>
        <w:ind w:left="640" w:leftChars="0" w:firstLine="0" w:firstLineChars="0"/>
        <w:outlineLvl w:val="0"/>
        <w:rPr>
          <w:rFonts w:hint="eastAsia" w:ascii="宋体" w:hAnsi="宋体" w:eastAsia="宋体" w:cs="宋体"/>
          <w:color w:val="010101"/>
          <w:sz w:val="32"/>
          <w:szCs w:val="32"/>
        </w:rPr>
      </w:pPr>
      <w:r>
        <w:rPr>
          <w:rFonts w:hint="eastAsia" w:ascii="宋体" w:hAnsi="宋体" w:eastAsia="宋体" w:cs="宋体"/>
          <w:color w:val="010101"/>
          <w:sz w:val="32"/>
          <w:szCs w:val="32"/>
        </w:rPr>
        <w:t xml:space="preserve">资产核算 </w:t>
      </w:r>
    </w:p>
    <w:p>
      <w:pPr>
        <w:rPr>
          <w:rFonts w:hint="eastAsia" w:ascii="宋体" w:hAnsi="宋体" w:eastAsia="宋体" w:cs="宋体"/>
          <w:color w:val="010101"/>
          <w:sz w:val="32"/>
          <w:szCs w:val="32"/>
          <w:lang w:val="en-US" w:eastAsia="zh-CN"/>
        </w:rPr>
      </w:pPr>
      <w:r>
        <w:rPr>
          <w:rFonts w:hint="eastAsia" w:ascii="宋体" w:hAnsi="宋体" w:eastAsia="宋体" w:cs="宋体"/>
          <w:color w:val="010101"/>
          <w:sz w:val="32"/>
          <w:szCs w:val="32"/>
          <w:lang w:val="en-US" w:eastAsia="zh-CN"/>
        </w:rPr>
        <w:t xml:space="preserve">   工作中有时没有</w:t>
      </w:r>
      <w:r>
        <w:rPr>
          <w:rFonts w:hint="eastAsia" w:ascii="宋体" w:hAnsi="宋体" w:eastAsia="宋体" w:cs="宋体"/>
          <w:sz w:val="32"/>
          <w:szCs w:val="32"/>
        </w:rPr>
        <w:t>严格按照《固定资产管理办法》的规定加强固定资产管理，及时登记，更新台账</w:t>
      </w:r>
      <w:r>
        <w:rPr>
          <w:rFonts w:hint="eastAsia" w:ascii="宋体" w:hAnsi="宋体" w:eastAsia="宋体" w:cs="宋体"/>
          <w:sz w:val="32"/>
          <w:szCs w:val="32"/>
          <w:lang w:eastAsia="zh-CN"/>
        </w:rPr>
        <w:t>。如</w:t>
      </w:r>
      <w:r>
        <w:rPr>
          <w:rFonts w:hint="eastAsia" w:ascii="宋体" w:hAnsi="宋体" w:eastAsia="宋体" w:cs="宋体"/>
          <w:color w:val="010101"/>
          <w:sz w:val="32"/>
          <w:szCs w:val="32"/>
          <w:lang w:val="en-US" w:eastAsia="zh-CN"/>
        </w:rPr>
        <w:t>在建工程已投入使用，但因没有完成验收手续所以一直没有纳入固定资产管理，长期挂帐在建工程科目</w:t>
      </w:r>
      <w:r>
        <w:rPr>
          <w:rFonts w:hint="eastAsia" w:ascii="宋体" w:hAnsi="宋体" w:eastAsia="宋体" w:cs="宋体"/>
          <w:sz w:val="32"/>
          <w:szCs w:val="32"/>
        </w:rPr>
        <w:t>。</w:t>
      </w:r>
      <w:r>
        <w:rPr>
          <w:rFonts w:hint="eastAsia" w:ascii="宋体" w:hAnsi="宋体" w:eastAsia="宋体" w:cs="宋体"/>
          <w:sz w:val="32"/>
          <w:szCs w:val="32"/>
          <w:lang w:eastAsia="zh-CN"/>
        </w:rPr>
        <w:t>今后实操中应杜绝此类现象发生。</w:t>
      </w:r>
    </w:p>
    <w:p>
      <w:pPr>
        <w:numPr>
          <w:ilvl w:val="0"/>
          <w:numId w:val="4"/>
        </w:numPr>
        <w:ind w:left="640" w:leftChars="0" w:firstLine="0" w:firstLineChars="0"/>
        <w:rPr>
          <w:rFonts w:hint="eastAsia" w:ascii="宋体" w:hAnsi="宋体" w:eastAsia="宋体" w:cs="宋体"/>
          <w:sz w:val="32"/>
          <w:szCs w:val="32"/>
        </w:rPr>
      </w:pPr>
      <w:r>
        <w:rPr>
          <w:rFonts w:hint="eastAsia" w:ascii="宋体" w:hAnsi="宋体" w:eastAsia="宋体" w:cs="宋体"/>
          <w:color w:val="010101"/>
          <w:sz w:val="32"/>
          <w:szCs w:val="32"/>
        </w:rPr>
        <w:t xml:space="preserve">内部管理 </w:t>
      </w:r>
    </w:p>
    <w:p>
      <w:pPr>
        <w:numPr>
          <w:ilvl w:val="0"/>
          <w:numId w:val="0"/>
        </w:numPr>
        <w:ind w:firstLine="640" w:firstLineChars="200"/>
        <w:rPr>
          <w:rFonts w:hint="eastAsia" w:ascii="宋体" w:hAnsi="宋体" w:eastAsia="宋体" w:cs="宋体"/>
          <w:sz w:val="32"/>
          <w:szCs w:val="32"/>
        </w:rPr>
      </w:pPr>
      <w:r>
        <w:rPr>
          <w:rFonts w:hint="eastAsia" w:ascii="宋体" w:hAnsi="宋体" w:eastAsia="宋体" w:cs="宋体"/>
          <w:sz w:val="32"/>
          <w:szCs w:val="32"/>
        </w:rPr>
        <w:t>规范财务处理，提高财务信息质量。严格按照《会计法》</w:t>
      </w:r>
      <w:r>
        <w:rPr>
          <w:rFonts w:hint="eastAsia" w:ascii="宋体" w:hAnsi="宋体" w:eastAsia="宋体" w:cs="宋体"/>
          <w:sz w:val="32"/>
          <w:szCs w:val="32"/>
          <w:lang w:eastAsia="zh-CN"/>
        </w:rPr>
        <w:t>、</w:t>
      </w:r>
      <w:r>
        <w:rPr>
          <w:rFonts w:hint="eastAsia" w:ascii="宋体" w:hAnsi="宋体" w:eastAsia="宋体" w:cs="宋体"/>
          <w:sz w:val="32"/>
          <w:szCs w:val="32"/>
        </w:rPr>
        <w:t>《行政单位会计制度》、《行政单位财务规则》等规定执行财务核算，并结合实际情况、完整、准确地披露相关信息，尽可能地做到决算与预算相衔接。</w:t>
      </w:r>
    </w:p>
    <w:p>
      <w:pPr>
        <w:autoSpaceDN w:val="0"/>
        <w:ind w:firstLine="630"/>
        <w:outlineLvl w:val="0"/>
        <w:rPr>
          <w:rFonts w:hint="eastAsia" w:ascii="宋体" w:hAnsi="宋体" w:eastAsia="宋体" w:cs="宋体"/>
          <w:color w:val="010101"/>
          <w:sz w:val="32"/>
          <w:szCs w:val="32"/>
        </w:rPr>
      </w:pPr>
      <w:r>
        <w:rPr>
          <w:rFonts w:hint="eastAsia" w:ascii="宋体" w:hAnsi="宋体" w:eastAsia="宋体" w:cs="宋体"/>
          <w:sz w:val="32"/>
          <w:szCs w:val="32"/>
        </w:rPr>
        <w:t>完善管理制度，进一步加强资产管理。进一步贯彻落实中央“八项规定”和湖南省委“九条规定”，建立本部门“三公经费”等公务支出管理制度及厉行节约制度，加强经费审批和控制，规范支出标准与范围，并严格执行。</w:t>
      </w:r>
    </w:p>
    <w:p>
      <w:pPr>
        <w:numPr>
          <w:ilvl w:val="0"/>
          <w:numId w:val="4"/>
        </w:numPr>
        <w:ind w:left="640" w:leftChars="0" w:firstLine="0" w:firstLineChars="0"/>
        <w:rPr>
          <w:rFonts w:hint="eastAsia" w:ascii="宋体" w:hAnsi="宋体" w:eastAsia="宋体" w:cs="宋体"/>
          <w:color w:val="010101"/>
          <w:sz w:val="32"/>
          <w:szCs w:val="32"/>
        </w:rPr>
      </w:pPr>
      <w:r>
        <w:rPr>
          <w:rFonts w:hint="eastAsia" w:ascii="宋体" w:hAnsi="宋体" w:eastAsia="宋体" w:cs="宋体"/>
          <w:color w:val="010101"/>
          <w:sz w:val="32"/>
          <w:szCs w:val="32"/>
        </w:rPr>
        <w:t xml:space="preserve">经费保障 </w:t>
      </w:r>
    </w:p>
    <w:p>
      <w:pPr>
        <w:numPr>
          <w:ilvl w:val="0"/>
          <w:numId w:val="0"/>
        </w:numPr>
        <w:ind w:firstLine="640" w:firstLineChars="200"/>
        <w:rPr>
          <w:rFonts w:hint="eastAsia" w:ascii="宋体" w:hAnsi="宋体" w:eastAsia="宋体" w:cs="宋体"/>
          <w:color w:val="010101"/>
          <w:sz w:val="32"/>
          <w:szCs w:val="32"/>
        </w:rPr>
      </w:pPr>
      <w:r>
        <w:rPr>
          <w:rFonts w:hint="eastAsia" w:ascii="宋体" w:hAnsi="宋体" w:eastAsia="宋体" w:cs="宋体"/>
          <w:sz w:val="32"/>
          <w:szCs w:val="32"/>
        </w:rPr>
        <w:t>因年底财务决算资金清零，次年预算批复时间较迟影响，年初单位发生的经济业务事项存在未能及时进行资金支付；受业务性质影响，平时支出较慢，年底支出比重较大，月度支出不平衡。</w:t>
      </w:r>
    </w:p>
    <w:p>
      <w:pPr>
        <w:ind w:firstLine="640" w:firstLineChars="200"/>
        <w:rPr>
          <w:rFonts w:hint="eastAsia" w:ascii="宋体" w:hAnsi="宋体" w:eastAsia="宋体" w:cs="宋体"/>
          <w:color w:val="010101"/>
          <w:sz w:val="32"/>
          <w:szCs w:val="32"/>
        </w:rPr>
      </w:pPr>
      <w:r>
        <w:rPr>
          <w:rFonts w:hint="eastAsia" w:ascii="宋体" w:hAnsi="宋体" w:eastAsia="宋体" w:cs="宋体"/>
          <w:color w:val="010101"/>
          <w:sz w:val="32"/>
          <w:szCs w:val="32"/>
        </w:rPr>
        <w:t>（五）其他</w:t>
      </w:r>
    </w:p>
    <w:p>
      <w:pPr>
        <w:autoSpaceDN w:val="0"/>
        <w:outlineLvl w:val="0"/>
        <w:rPr>
          <w:rFonts w:hint="eastAsia" w:ascii="宋体" w:hAnsi="宋体" w:eastAsia="宋体" w:cs="宋体"/>
          <w:sz w:val="32"/>
          <w:szCs w:val="32"/>
        </w:rPr>
      </w:pPr>
      <w:r>
        <w:rPr>
          <w:rFonts w:hint="eastAsia" w:ascii="宋体" w:hAnsi="宋体" w:eastAsia="宋体" w:cs="宋体"/>
          <w:sz w:val="32"/>
          <w:szCs w:val="32"/>
          <w:lang w:eastAsia="zh-CN"/>
        </w:rPr>
        <w:t>义务教育公用经费没有纳入年初预算，所以每年商品与服务支出与年终决算数据执行偏差很大</w:t>
      </w:r>
      <w:r>
        <w:rPr>
          <w:rFonts w:hint="eastAsia" w:ascii="宋体" w:hAnsi="宋体" w:eastAsia="宋体" w:cs="宋体"/>
          <w:sz w:val="32"/>
          <w:szCs w:val="32"/>
        </w:rPr>
        <w:t>。</w:t>
      </w:r>
    </w:p>
    <w:p>
      <w:pPr>
        <w:pStyle w:val="3"/>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八、下一步改进措施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（一）高度重视财政预决算支出工作，稳定财务人员队伍，加强人员配备，进一步提高财务工作水平。</w:t>
      </w:r>
    </w:p>
    <w:p>
      <w:pPr>
        <w:rPr>
          <w:rFonts w:hint="eastAsia" w:ascii="宋体" w:hAnsi="宋体" w:eastAsia="宋体" w:cs="宋体"/>
          <w:sz w:val="32"/>
          <w:szCs w:val="32"/>
        </w:rPr>
      </w:pPr>
      <w:r>
        <w:rPr>
          <w:rFonts w:hint="eastAsia" w:ascii="宋体" w:hAnsi="宋体" w:eastAsia="宋体" w:cs="宋体"/>
          <w:sz w:val="32"/>
          <w:szCs w:val="32"/>
        </w:rPr>
        <w:t xml:space="preserve">    （二）加强内部管理，严格执行预算，坚持励行节约，进一步降低财务支出。</w:t>
      </w:r>
    </w:p>
    <w:p>
      <w:pPr>
        <w:pStyle w:val="3"/>
        <w:widowControl/>
        <w:shd w:val="clear" w:color="auto" w:fill="FFFFFF"/>
        <w:spacing w:beforeAutospacing="0" w:afterAutospacing="0" w:line="480" w:lineRule="atLeast"/>
        <w:ind w:firstLine="645"/>
        <w:rPr>
          <w:rFonts w:ascii="仿宋" w:hAnsi="仿宋" w:eastAsia="仿宋" w:cs="仿宋"/>
          <w:color w:val="000000"/>
          <w:sz w:val="32"/>
          <w:szCs w:val="32"/>
        </w:rPr>
      </w:pPr>
      <w:r>
        <w:rPr>
          <w:rFonts w:hint="eastAsia" w:ascii="宋体" w:hAnsi="宋体" w:eastAsia="宋体" w:cs="宋体"/>
          <w:sz w:val="32"/>
          <w:szCs w:val="32"/>
        </w:rPr>
        <w:t>（三）严格执行相关财务制度，进一步提高办事效率。</w:t>
      </w:r>
    </w:p>
    <w:p>
      <w:pPr>
        <w:pStyle w:val="3"/>
        <w:widowControl/>
        <w:shd w:val="clear" w:color="auto" w:fill="FFFFFF"/>
        <w:spacing w:beforeAutospacing="0" w:afterAutospacing="0" w:line="480" w:lineRule="atLeast"/>
        <w:ind w:firstLine="645"/>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附件：1.部门整体支出绩效评价基础数据表</w:t>
      </w:r>
    </w:p>
    <w:p>
      <w:pPr>
        <w:pStyle w:val="3"/>
        <w:widowControl/>
        <w:shd w:val="clear" w:color="auto" w:fill="FFFFFF"/>
        <w:spacing w:beforeAutospacing="0" w:afterAutospacing="0" w:line="480" w:lineRule="atLeast"/>
        <w:ind w:firstLine="1609" w:firstLineChars="503"/>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2.部门整体支出绩效自评表</w:t>
      </w:r>
    </w:p>
    <w:p>
      <w:pPr>
        <w:pStyle w:val="3"/>
        <w:widowControl/>
        <w:shd w:val="clear" w:color="auto" w:fill="FFFFFF"/>
        <w:spacing w:beforeAutospacing="0" w:afterAutospacing="0" w:line="480" w:lineRule="atLeast"/>
        <w:jc w:val="both"/>
        <w:rPr>
          <w:rFonts w:ascii="黑体" w:hAnsi="黑体" w:eastAsia="黑体" w:cs="黑体"/>
          <w:color w:val="000000"/>
          <w:sz w:val="32"/>
          <w:szCs w:val="32"/>
          <w:shd w:val="clear" w:color="auto" w:fill="FFFFFF"/>
        </w:rPr>
      </w:pPr>
    </w:p>
    <w:p>
      <w:pPr>
        <w:pStyle w:val="3"/>
        <w:widowControl/>
        <w:shd w:val="clear" w:color="auto" w:fill="FFFFFF"/>
        <w:spacing w:beforeAutospacing="0" w:afterAutospacing="0" w:line="480" w:lineRule="atLeast"/>
        <w:jc w:val="both"/>
        <w:rPr>
          <w:rFonts w:ascii="黑体" w:hAnsi="黑体" w:eastAsia="黑体" w:cs="黑体"/>
          <w:color w:val="000000"/>
          <w:sz w:val="32"/>
          <w:szCs w:val="32"/>
          <w:shd w:val="clear" w:color="auto" w:fill="FFFFFF"/>
        </w:rPr>
      </w:pPr>
    </w:p>
    <w:p>
      <w:pPr>
        <w:pStyle w:val="3"/>
        <w:widowControl/>
        <w:shd w:val="clear" w:color="auto" w:fill="FFFFFF"/>
        <w:spacing w:beforeAutospacing="0" w:afterAutospacing="0" w:line="480" w:lineRule="atLeast"/>
        <w:jc w:val="both"/>
        <w:rPr>
          <w:rFonts w:hint="eastAsia" w:ascii="黑体" w:hAnsi="黑体" w:eastAsia="黑体" w:cs="黑体"/>
          <w:color w:val="000000"/>
          <w:sz w:val="32"/>
          <w:szCs w:val="32"/>
          <w:shd w:val="clear" w:color="auto" w:fill="FFFFFF"/>
        </w:rPr>
      </w:pPr>
    </w:p>
    <w:p>
      <w:pPr>
        <w:pStyle w:val="3"/>
        <w:widowControl/>
        <w:shd w:val="clear" w:color="auto" w:fill="FFFFFF"/>
        <w:spacing w:beforeAutospacing="0" w:afterAutospacing="0" w:line="480" w:lineRule="atLeast"/>
        <w:jc w:val="both"/>
        <w:rPr>
          <w:rFonts w:hint="eastAsia" w:ascii="黑体" w:hAnsi="黑体" w:eastAsia="黑体" w:cs="黑体"/>
          <w:color w:val="000000"/>
          <w:sz w:val="32"/>
          <w:szCs w:val="32"/>
          <w:shd w:val="clear" w:color="auto" w:fill="FFFFFF"/>
        </w:rPr>
      </w:pPr>
    </w:p>
    <w:p>
      <w:pPr>
        <w:pStyle w:val="3"/>
        <w:widowControl/>
        <w:shd w:val="clear" w:color="auto" w:fill="FFFFFF"/>
        <w:spacing w:beforeAutospacing="0" w:afterAutospacing="0" w:line="480" w:lineRule="atLeast"/>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附件1</w:t>
      </w:r>
    </w:p>
    <w:p>
      <w:pPr>
        <w:pStyle w:val="3"/>
        <w:widowControl/>
        <w:shd w:val="clear" w:color="auto" w:fill="FFFFFF"/>
        <w:spacing w:beforeAutospacing="0" w:afterAutospacing="0" w:line="480" w:lineRule="atLeast"/>
        <w:ind w:firstLine="980" w:firstLineChars="350"/>
        <w:jc w:val="both"/>
        <w:rPr>
          <w:rFonts w:ascii="黑体" w:hAnsi="黑体" w:eastAsia="黑体" w:cs="黑体"/>
          <w:spacing w:val="-20"/>
          <w:sz w:val="32"/>
          <w:szCs w:val="32"/>
        </w:rPr>
      </w:pPr>
      <w:r>
        <w:rPr>
          <w:rFonts w:hint="eastAsia" w:ascii="黑体" w:hAnsi="黑体" w:eastAsia="黑体" w:cs="黑体"/>
          <w:spacing w:val="-20"/>
          <w:sz w:val="32"/>
          <w:szCs w:val="32"/>
        </w:rPr>
        <w:t>2022年度部门整体支出绩效评价基础数据表</w:t>
      </w:r>
    </w:p>
    <w:p>
      <w:pPr>
        <w:spacing w:line="200" w:lineRule="exact"/>
        <w:jc w:val="center"/>
        <w:rPr>
          <w:rFonts w:eastAsia="方正小标宋_GBK"/>
          <w:sz w:val="44"/>
        </w:rPr>
      </w:pPr>
    </w:p>
    <w:tbl>
      <w:tblPr>
        <w:tblStyle w:val="5"/>
        <w:tblW w:w="10045" w:type="dxa"/>
        <w:jc w:val="center"/>
        <w:tblLayout w:type="fixed"/>
        <w:tblCellMar>
          <w:top w:w="0" w:type="dxa"/>
          <w:left w:w="108" w:type="dxa"/>
          <w:bottom w:w="0" w:type="dxa"/>
          <w:right w:w="108" w:type="dxa"/>
        </w:tblCellMar>
      </w:tblPr>
      <w:tblGrid>
        <w:gridCol w:w="3543"/>
        <w:gridCol w:w="1207"/>
        <w:gridCol w:w="930"/>
        <w:gridCol w:w="945"/>
        <w:gridCol w:w="1110"/>
        <w:gridCol w:w="1155"/>
        <w:gridCol w:w="1155"/>
      </w:tblGrid>
      <w:tr>
        <w:tblPrEx>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32"/>
                <w:szCs w:val="21"/>
              </w:rPr>
            </w:pPr>
            <w:r>
              <w:rPr>
                <w:rFonts w:hint="eastAsia" w:ascii="仿宋" w:hAnsi="仿宋" w:eastAsia="仿宋" w:cs="仿宋"/>
                <w:b/>
                <w:bCs/>
                <w:kern w:val="0"/>
                <w:szCs w:val="21"/>
              </w:rPr>
              <w:t>财政供养人员情况（人）</w:t>
            </w:r>
          </w:p>
        </w:tc>
        <w:tc>
          <w:tcPr>
            <w:tcW w:w="2137"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编制数</w:t>
            </w:r>
          </w:p>
        </w:tc>
        <w:tc>
          <w:tcPr>
            <w:tcW w:w="2055"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2022年实际在职人数</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控制率</w:t>
            </w:r>
          </w:p>
        </w:tc>
      </w:tr>
      <w:tr>
        <w:tblPrEx>
          <w:tblCellMar>
            <w:top w:w="0" w:type="dxa"/>
            <w:left w:w="108" w:type="dxa"/>
            <w:bottom w:w="0" w:type="dxa"/>
            <w:right w:w="108" w:type="dxa"/>
          </w:tblCellMar>
        </w:tblPrEx>
        <w:trPr>
          <w:jc w:val="center"/>
        </w:trPr>
        <w:tc>
          <w:tcPr>
            <w:tcW w:w="3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123</w:t>
            </w:r>
          </w:p>
        </w:tc>
        <w:tc>
          <w:tcPr>
            <w:tcW w:w="2055"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130</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105.7%</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经费控制情况（万元）</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2021年决算数</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2022年预算数</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2022年决算数</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三公经费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2.95</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4.57</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4.57</w:t>
            </w:r>
            <w:r>
              <w:rPr>
                <w:rFonts w:hint="eastAsia" w:ascii="仿宋" w:hAnsi="仿宋" w:eastAsia="仿宋" w:cs="仿宋"/>
                <w:kern w:val="0"/>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其中：公车购置</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公车运行维护</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2、出国经费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3、公务接待</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2.95</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rPr>
            </w:pPr>
            <w:r>
              <w:rPr>
                <w:rFonts w:hint="eastAsia" w:ascii="仿宋" w:hAnsi="仿宋" w:eastAsia="仿宋" w:cs="仿宋"/>
                <w:kern w:val="0"/>
                <w:szCs w:val="21"/>
                <w:lang w:val="en-US" w:eastAsia="zh-CN"/>
              </w:rPr>
              <w:t>4.57</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4.57</w:t>
            </w:r>
            <w:r>
              <w:rPr>
                <w:rFonts w:hint="eastAsia" w:ascii="仿宋" w:hAnsi="仿宋" w:eastAsia="仿宋" w:cs="仿宋"/>
                <w:kern w:val="0"/>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项目支出</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315" w:firstLineChars="150"/>
              <w:rPr>
                <w:rFonts w:ascii="仿宋" w:hAnsi="仿宋" w:eastAsia="仿宋" w:cs="仿宋"/>
                <w:kern w:val="0"/>
                <w:szCs w:val="21"/>
              </w:rPr>
            </w:pPr>
            <w:r>
              <w:rPr>
                <w:rFonts w:hint="eastAsia" w:ascii="仿宋" w:hAnsi="仿宋" w:eastAsia="仿宋" w:cs="仿宋"/>
                <w:kern w:val="0"/>
                <w:szCs w:val="21"/>
              </w:rPr>
              <w:t xml:space="preserve"> 1、业务工作经费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0</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2、运行维护经费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3、上级专项资金</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公用经费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437.6</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eastAsia="zh-CN"/>
              </w:rPr>
            </w:pP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1195.59</w:t>
            </w:r>
          </w:p>
        </w:tc>
      </w:tr>
      <w:tr>
        <w:tblPrEx>
          <w:tblCellMar>
            <w:top w:w="0" w:type="dxa"/>
            <w:left w:w="108" w:type="dxa"/>
            <w:bottom w:w="0" w:type="dxa"/>
            <w:right w:w="108" w:type="dxa"/>
          </w:tblCellMar>
        </w:tblPrEx>
        <w:trPr>
          <w:trHeight w:val="90" w:hRule="atLeast"/>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其中：办公经费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45.99</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1.60</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122.89</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水费、电费、差旅费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44.03</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2.50</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43.17</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会议费、培训费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4.8</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0.5</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8.92</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政府采购金额</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部门基本支出预算调整</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eastAsia="zh-CN"/>
              </w:rPr>
            </w:pP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eastAsia="zh-CN"/>
              </w:rPr>
            </w:pP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eastAsia="zh-CN"/>
              </w:rPr>
            </w:pPr>
          </w:p>
        </w:tc>
      </w:tr>
      <w:tr>
        <w:tblPrEx>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楼堂馆所控制情况</w:t>
            </w:r>
            <w:r>
              <w:rPr>
                <w:rFonts w:hint="eastAsia" w:ascii="仿宋" w:hAnsi="仿宋" w:eastAsia="仿宋" w:cs="仿宋"/>
                <w:b/>
                <w:bCs/>
                <w:kern w:val="0"/>
                <w:szCs w:val="21"/>
              </w:rPr>
              <w:br w:type="textWrapping"/>
            </w:r>
            <w:r>
              <w:rPr>
                <w:rFonts w:hint="eastAsia" w:ascii="仿宋" w:hAnsi="仿宋" w:eastAsia="仿宋" w:cs="仿宋"/>
                <w:b/>
                <w:bCs/>
                <w:kern w:val="0"/>
                <w:szCs w:val="21"/>
              </w:rPr>
              <w:t>（2022年完工项目）</w:t>
            </w:r>
          </w:p>
        </w:tc>
        <w:tc>
          <w:tcPr>
            <w:tcW w:w="1207"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批复规模</w:t>
            </w:r>
            <w:r>
              <w:rPr>
                <w:rFonts w:hint="eastAsia" w:ascii="仿宋" w:hAnsi="仿宋" w:eastAsia="仿宋" w:cs="仿宋"/>
                <w:kern w:val="0"/>
                <w:szCs w:val="21"/>
              </w:rPr>
              <w:br w:type="textWrapping"/>
            </w:r>
            <w:r>
              <w:rPr>
                <w:rFonts w:hint="eastAsia" w:ascii="仿宋" w:hAnsi="仿宋" w:eastAsia="仿宋" w:cs="仿宋"/>
                <w:kern w:val="0"/>
                <w:szCs w:val="21"/>
              </w:rPr>
              <w:t>（㎡）</w:t>
            </w:r>
          </w:p>
        </w:tc>
        <w:tc>
          <w:tcPr>
            <w:tcW w:w="93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实际规模（㎡）</w:t>
            </w:r>
          </w:p>
        </w:tc>
        <w:tc>
          <w:tcPr>
            <w:tcW w:w="94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规模控制率</w:t>
            </w:r>
          </w:p>
        </w:tc>
        <w:tc>
          <w:tcPr>
            <w:tcW w:w="111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预算投资（万元）</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实际投资（万元）</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投资概算控制率</w:t>
            </w:r>
          </w:p>
        </w:tc>
      </w:tr>
      <w:tr>
        <w:tblPrEx>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p>
        </w:tc>
        <w:tc>
          <w:tcPr>
            <w:tcW w:w="1207"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93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94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111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厉行节约保障措施</w:t>
            </w:r>
          </w:p>
        </w:tc>
        <w:tc>
          <w:tcPr>
            <w:tcW w:w="6502" w:type="dxa"/>
            <w:gridSpan w:val="6"/>
            <w:tcBorders>
              <w:top w:val="single" w:color="auto" w:sz="4" w:space="0"/>
              <w:left w:val="nil"/>
              <w:bottom w:val="single" w:color="auto" w:sz="4" w:space="0"/>
              <w:right w:val="single" w:color="000000" w:sz="4" w:space="0"/>
            </w:tcBorders>
            <w:vAlign w:val="center"/>
          </w:tcPr>
          <w:p>
            <w:pPr>
              <w:numPr>
                <w:ilvl w:val="0"/>
                <w:numId w:val="0"/>
              </w:numPr>
              <w:spacing w:line="240" w:lineRule="exact"/>
              <w:ind w:firstLine="420" w:firstLineChars="200"/>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lang w:eastAsia="zh-CN"/>
              </w:rPr>
              <w:t>严格遵循《事业单位会计制度》、《事业单位会计准则》的要求，以节约费用为重点，抓好单位财务管理工作。</w:t>
            </w:r>
          </w:p>
          <w:p>
            <w:pPr>
              <w:numPr>
                <w:ilvl w:val="0"/>
                <w:numId w:val="0"/>
              </w:numPr>
              <w:spacing w:line="240" w:lineRule="exact"/>
              <w:ind w:firstLine="420" w:firstLineChars="200"/>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2</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完善公务出差审批制度，严控交通差旅费管理，加强差旅住宿费管理。</w:t>
            </w:r>
          </w:p>
          <w:p>
            <w:pPr>
              <w:spacing w:line="240" w:lineRule="exact"/>
              <w:ind w:firstLine="315" w:firstLineChars="150"/>
              <w:rPr>
                <w:rFonts w:ascii="仿宋" w:hAnsi="仿宋" w:eastAsia="仿宋" w:cs="仿宋"/>
                <w:kern w:val="0"/>
                <w:szCs w:val="21"/>
              </w:rPr>
            </w:pPr>
            <w:r>
              <w:rPr>
                <w:rFonts w:hint="eastAsia" w:ascii="仿宋" w:hAnsi="仿宋" w:eastAsia="仿宋" w:cs="仿宋"/>
                <w:kern w:val="0"/>
                <w:sz w:val="21"/>
                <w:szCs w:val="21"/>
                <w:lang w:val="en-US" w:eastAsia="zh-CN"/>
              </w:rPr>
              <w:t xml:space="preserve">    3.</w:t>
            </w:r>
            <w:r>
              <w:rPr>
                <w:rFonts w:hint="eastAsia" w:ascii="仿宋" w:hAnsi="仿宋" w:eastAsia="仿宋" w:cs="仿宋"/>
                <w:kern w:val="0"/>
                <w:sz w:val="21"/>
                <w:szCs w:val="21"/>
                <w:lang w:eastAsia="zh-CN"/>
              </w:rPr>
              <w:t>贯彻落实县委县政府过“紧日子”要求，超预算、超支出、超范围、无政策依据的经费不予支出。</w:t>
            </w:r>
          </w:p>
        </w:tc>
      </w:tr>
      <w:tr>
        <w:tblPrEx>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rPr>
                <w:rFonts w:eastAsia="仿宋_GB2312"/>
                <w:kern w:val="0"/>
                <w:szCs w:val="21"/>
              </w:rPr>
            </w:pPr>
            <w:r>
              <w:rPr>
                <w:rFonts w:eastAsia="仿宋_GB2312"/>
                <w:kern w:val="0"/>
                <w:szCs w:val="21"/>
              </w:rPr>
              <w:t>说明：“项目支出”需要填报基本支出以外的所有项目支出情况，“公用经费”填报基本支出中的一般商品和服务支出。</w:t>
            </w:r>
          </w:p>
          <w:p>
            <w:pPr>
              <w:spacing w:line="240" w:lineRule="exact"/>
              <w:ind w:firstLine="315" w:firstLineChars="150"/>
              <w:rPr>
                <w:rFonts w:ascii="仿宋" w:hAnsi="仿宋" w:eastAsia="仿宋" w:cs="仿宋"/>
                <w:kern w:val="0"/>
                <w:szCs w:val="21"/>
              </w:rPr>
            </w:pPr>
          </w:p>
        </w:tc>
      </w:tr>
    </w:tbl>
    <w:p>
      <w:pPr>
        <w:widowControl/>
        <w:spacing w:line="240" w:lineRule="exact"/>
        <w:jc w:val="left"/>
        <w:rPr>
          <w:rFonts w:eastAsia="仿宋_GB2312"/>
          <w:kern w:val="0"/>
          <w:szCs w:val="21"/>
        </w:rPr>
      </w:pPr>
    </w:p>
    <w:p>
      <w:pPr>
        <w:spacing w:line="579" w:lineRule="exact"/>
        <w:rPr>
          <w:rFonts w:hint="eastAsia" w:ascii="黑体" w:hAnsi="黑体" w:eastAsia="黑体" w:cs="黑体"/>
          <w:color w:val="000000"/>
          <w:sz w:val="32"/>
          <w:szCs w:val="32"/>
        </w:rPr>
      </w:pPr>
    </w:p>
    <w:p>
      <w:pPr>
        <w:spacing w:line="579" w:lineRule="exact"/>
        <w:rPr>
          <w:rFonts w:ascii="黑体" w:hAnsi="黑体" w:eastAsia="黑体" w:cs="黑体"/>
          <w:color w:val="000000"/>
          <w:sz w:val="32"/>
          <w:szCs w:val="32"/>
        </w:rPr>
      </w:pPr>
      <w:r>
        <w:rPr>
          <w:rFonts w:hint="eastAsia" w:ascii="黑体" w:hAnsi="黑体" w:eastAsia="黑体" w:cs="黑体"/>
          <w:color w:val="000000"/>
          <w:sz w:val="32"/>
          <w:szCs w:val="32"/>
        </w:rPr>
        <w:t>附件1-2</w:t>
      </w:r>
    </w:p>
    <w:p>
      <w:pPr>
        <w:spacing w:line="300" w:lineRule="exact"/>
        <w:rPr>
          <w:rFonts w:eastAsia="黑体"/>
          <w:color w:val="000000"/>
          <w:sz w:val="32"/>
          <w:szCs w:val="32"/>
        </w:rPr>
      </w:pPr>
    </w:p>
    <w:p>
      <w:pPr>
        <w:spacing w:line="740" w:lineRule="exact"/>
        <w:jc w:val="center"/>
        <w:rPr>
          <w:rFonts w:ascii="黑体" w:hAnsi="黑体" w:eastAsia="黑体" w:cs="黑体"/>
          <w:sz w:val="32"/>
          <w:szCs w:val="32"/>
        </w:rPr>
      </w:pPr>
      <w:r>
        <w:rPr>
          <w:rFonts w:hint="eastAsia" w:ascii="黑体" w:hAnsi="黑体" w:eastAsia="黑体" w:cs="黑体"/>
          <w:sz w:val="32"/>
          <w:szCs w:val="32"/>
        </w:rPr>
        <w:t>2022年度部门整体支出绩效自评表</w:t>
      </w:r>
    </w:p>
    <w:p>
      <w:pPr>
        <w:spacing w:line="300" w:lineRule="exact"/>
        <w:jc w:val="center"/>
        <w:rPr>
          <w:rFonts w:eastAsia="方正小标宋_GBK"/>
          <w:sz w:val="44"/>
        </w:rPr>
      </w:pPr>
    </w:p>
    <w:tbl>
      <w:tblPr>
        <w:tblStyle w:val="5"/>
        <w:tblW w:w="10415" w:type="dxa"/>
        <w:jc w:val="center"/>
        <w:tblLayout w:type="fixed"/>
        <w:tblCellMar>
          <w:top w:w="0" w:type="dxa"/>
          <w:left w:w="108" w:type="dxa"/>
          <w:bottom w:w="0" w:type="dxa"/>
          <w:right w:w="108" w:type="dxa"/>
        </w:tblCellMar>
      </w:tblPr>
      <w:tblGrid>
        <w:gridCol w:w="716"/>
        <w:gridCol w:w="851"/>
        <w:gridCol w:w="770"/>
        <w:gridCol w:w="1350"/>
        <w:gridCol w:w="253"/>
        <w:gridCol w:w="1487"/>
        <w:gridCol w:w="1635"/>
        <w:gridCol w:w="825"/>
        <w:gridCol w:w="1455"/>
        <w:gridCol w:w="1073"/>
      </w:tblGrid>
      <w:tr>
        <w:tblPrEx>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单位名称</w:t>
            </w:r>
          </w:p>
        </w:tc>
        <w:tc>
          <w:tcPr>
            <w:tcW w:w="9699" w:type="dxa"/>
            <w:gridSpan w:val="9"/>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eastAsia="zh-CN"/>
              </w:rPr>
              <w:t>绥宁县思源实验学校</w:t>
            </w:r>
            <w:bookmarkStart w:id="0" w:name="_GoBack"/>
            <w:bookmarkEnd w:id="0"/>
            <w:r>
              <w:rPr>
                <w:rFonts w:hint="eastAsia" w:ascii="仿宋" w:hAnsi="仿宋" w:eastAsia="仿宋" w:cs="仿宋"/>
                <w:color w:val="000000"/>
                <w:kern w:val="0"/>
                <w:szCs w:val="21"/>
              </w:rPr>
              <w:t>　</w:t>
            </w:r>
          </w:p>
        </w:tc>
      </w:tr>
      <w:tr>
        <w:tblPrEx>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年度预算申请（万元）</w:t>
            </w:r>
          </w:p>
        </w:tc>
        <w:tc>
          <w:tcPr>
            <w:tcW w:w="1621" w:type="dxa"/>
            <w:gridSpan w:val="2"/>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p>
        </w:tc>
        <w:tc>
          <w:tcPr>
            <w:tcW w:w="1350" w:type="dxa"/>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年初预算数</w:t>
            </w:r>
          </w:p>
        </w:tc>
        <w:tc>
          <w:tcPr>
            <w:tcW w:w="1740" w:type="dxa"/>
            <w:gridSpan w:val="2"/>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全年预算数(A)</w:t>
            </w:r>
          </w:p>
        </w:tc>
        <w:tc>
          <w:tcPr>
            <w:tcW w:w="1635" w:type="dxa"/>
            <w:tcBorders>
              <w:top w:val="nil"/>
              <w:left w:val="nil"/>
              <w:bottom w:val="single" w:color="auto" w:sz="4" w:space="0"/>
              <w:right w:val="single" w:color="auto" w:sz="4" w:space="0"/>
            </w:tcBorders>
            <w:vAlign w:val="center"/>
          </w:tcPr>
          <w:p>
            <w:pPr>
              <w:spacing w:line="220" w:lineRule="exact"/>
              <w:rPr>
                <w:rFonts w:ascii="仿宋" w:hAnsi="仿宋" w:eastAsia="仿宋" w:cs="仿宋"/>
                <w:color w:val="000000"/>
                <w:kern w:val="0"/>
                <w:szCs w:val="21"/>
              </w:rPr>
            </w:pPr>
            <w:r>
              <w:rPr>
                <w:rFonts w:hint="eastAsia" w:ascii="仿宋" w:hAnsi="仿宋" w:eastAsia="仿宋" w:cs="仿宋"/>
                <w:color w:val="000000"/>
                <w:kern w:val="0"/>
                <w:szCs w:val="21"/>
              </w:rPr>
              <w:t>全年执行数(B)</w:t>
            </w:r>
          </w:p>
        </w:tc>
        <w:tc>
          <w:tcPr>
            <w:tcW w:w="825" w:type="dxa"/>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tc>
        <w:tc>
          <w:tcPr>
            <w:tcW w:w="1455" w:type="dxa"/>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执行率(B/A)</w:t>
            </w:r>
          </w:p>
        </w:tc>
        <w:tc>
          <w:tcPr>
            <w:tcW w:w="1073" w:type="dxa"/>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得分</w:t>
            </w:r>
          </w:p>
        </w:tc>
      </w:tr>
      <w:tr>
        <w:tblPrEx>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1621" w:type="dxa"/>
            <w:gridSpan w:val="2"/>
            <w:tcBorders>
              <w:top w:val="nil"/>
              <w:left w:val="nil"/>
              <w:bottom w:val="single" w:color="auto" w:sz="4" w:space="0"/>
              <w:right w:val="single" w:color="auto" w:sz="4" w:space="0"/>
            </w:tcBorders>
            <w:vAlign w:val="center"/>
          </w:tcPr>
          <w:p>
            <w:pPr>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年度资金总额</w:t>
            </w:r>
          </w:p>
        </w:tc>
        <w:tc>
          <w:tcPr>
            <w:tcW w:w="1350" w:type="dxa"/>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994.17</w:t>
            </w:r>
          </w:p>
        </w:tc>
        <w:tc>
          <w:tcPr>
            <w:tcW w:w="1740" w:type="dxa"/>
            <w:gridSpan w:val="2"/>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3381.81</w:t>
            </w:r>
          </w:p>
        </w:tc>
        <w:tc>
          <w:tcPr>
            <w:tcW w:w="1635" w:type="dxa"/>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Cs w:val="21"/>
                <w:lang w:val="en-US"/>
              </w:rPr>
            </w:pPr>
            <w:r>
              <w:rPr>
                <w:rFonts w:hint="eastAsia" w:ascii="仿宋" w:hAnsi="仿宋" w:eastAsia="仿宋" w:cs="仿宋"/>
                <w:color w:val="000000"/>
                <w:kern w:val="0"/>
                <w:szCs w:val="21"/>
                <w:lang w:val="en-US" w:eastAsia="zh-CN"/>
              </w:rPr>
              <w:t>3381.81</w:t>
            </w:r>
          </w:p>
        </w:tc>
        <w:tc>
          <w:tcPr>
            <w:tcW w:w="825" w:type="dxa"/>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1455"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60.10%</w:t>
            </w:r>
          </w:p>
        </w:tc>
        <w:tc>
          <w:tcPr>
            <w:tcW w:w="1073"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0</w:t>
            </w:r>
          </w:p>
        </w:tc>
      </w:tr>
      <w:tr>
        <w:tblPrEx>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按收入性质分：</w:t>
            </w:r>
            <w:r>
              <w:rPr>
                <w:rFonts w:hint="eastAsia" w:ascii="仿宋" w:hAnsi="仿宋" w:eastAsia="仿宋" w:cs="仿宋"/>
                <w:color w:val="000000"/>
                <w:kern w:val="0"/>
                <w:szCs w:val="21"/>
                <w:lang w:val="en-US" w:eastAsia="zh-CN"/>
              </w:rPr>
              <w:t>3381.81</w:t>
            </w:r>
          </w:p>
        </w:tc>
        <w:tc>
          <w:tcPr>
            <w:tcW w:w="4988" w:type="dxa"/>
            <w:gridSpan w:val="4"/>
            <w:tcBorders>
              <w:top w:val="nil"/>
              <w:left w:val="nil"/>
              <w:bottom w:val="single" w:color="auto" w:sz="4" w:space="0"/>
              <w:right w:val="single" w:color="auto" w:sz="4" w:space="0"/>
            </w:tcBorders>
            <w:vAlign w:val="center"/>
          </w:tcPr>
          <w:p>
            <w:pPr>
              <w:widowControl/>
              <w:spacing w:line="220" w:lineRule="exact"/>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按支出性质分：</w:t>
            </w:r>
            <w:r>
              <w:rPr>
                <w:rFonts w:hint="eastAsia" w:ascii="仿宋" w:hAnsi="仿宋" w:eastAsia="仿宋" w:cs="仿宋"/>
                <w:color w:val="000000"/>
                <w:kern w:val="0"/>
                <w:szCs w:val="21"/>
                <w:lang w:val="en-US" w:eastAsia="zh-CN"/>
              </w:rPr>
              <w:t>3381.81</w:t>
            </w:r>
          </w:p>
        </w:tc>
      </w:tr>
      <w:tr>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210" w:firstLineChars="100"/>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其中：一般公共预算：</w:t>
            </w:r>
            <w:r>
              <w:rPr>
                <w:rFonts w:hint="eastAsia" w:ascii="仿宋" w:hAnsi="仿宋" w:eastAsia="仿宋" w:cs="仿宋"/>
                <w:color w:val="000000"/>
                <w:kern w:val="0"/>
                <w:szCs w:val="21"/>
                <w:lang w:val="en-US" w:eastAsia="zh-CN"/>
              </w:rPr>
              <w:t>2481.26</w:t>
            </w:r>
          </w:p>
        </w:tc>
        <w:tc>
          <w:tcPr>
            <w:tcW w:w="4988" w:type="dxa"/>
            <w:gridSpan w:val="4"/>
            <w:tcBorders>
              <w:top w:val="nil"/>
              <w:left w:val="nil"/>
              <w:bottom w:val="single" w:color="auto" w:sz="4" w:space="0"/>
              <w:right w:val="single" w:color="auto" w:sz="4" w:space="0"/>
            </w:tcBorders>
            <w:vAlign w:val="center"/>
          </w:tcPr>
          <w:p>
            <w:pPr>
              <w:widowControl/>
              <w:spacing w:line="220" w:lineRule="exact"/>
              <w:ind w:firstLine="210" w:firstLineChars="100"/>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其中：基本支出：</w:t>
            </w:r>
            <w:r>
              <w:rPr>
                <w:rFonts w:hint="eastAsia" w:ascii="仿宋" w:hAnsi="仿宋" w:eastAsia="仿宋" w:cs="仿宋"/>
                <w:color w:val="000000"/>
                <w:kern w:val="0"/>
                <w:szCs w:val="21"/>
                <w:lang w:val="en-US" w:eastAsia="zh-CN"/>
              </w:rPr>
              <w:t>3381.81</w:t>
            </w:r>
          </w:p>
        </w:tc>
      </w:tr>
      <w:tr>
        <w:tblPrEx>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政府性基金拨款：</w:t>
            </w:r>
            <w:r>
              <w:rPr>
                <w:rFonts w:hint="eastAsia" w:ascii="仿宋" w:hAnsi="仿宋" w:eastAsia="仿宋" w:cs="仿宋"/>
                <w:color w:val="000000"/>
                <w:kern w:val="0"/>
                <w:szCs w:val="21"/>
                <w:lang w:val="en-US" w:eastAsia="zh-CN"/>
              </w:rPr>
              <w:t>0</w:t>
            </w:r>
          </w:p>
        </w:tc>
        <w:tc>
          <w:tcPr>
            <w:tcW w:w="4988" w:type="dxa"/>
            <w:gridSpan w:val="4"/>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项目支出：</w:t>
            </w:r>
            <w:r>
              <w:rPr>
                <w:rFonts w:hint="eastAsia" w:ascii="仿宋" w:hAnsi="仿宋" w:eastAsia="仿宋" w:cs="仿宋"/>
                <w:color w:val="000000"/>
                <w:kern w:val="0"/>
                <w:szCs w:val="21"/>
                <w:lang w:val="en-US" w:eastAsia="zh-CN"/>
              </w:rPr>
              <w:t>0</w:t>
            </w:r>
          </w:p>
        </w:tc>
      </w:tr>
      <w:tr>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纳入专户管理的非税收入拨款：</w:t>
            </w:r>
            <w:r>
              <w:rPr>
                <w:rFonts w:hint="eastAsia" w:ascii="仿宋" w:hAnsi="仿宋" w:eastAsia="仿宋" w:cs="仿宋"/>
                <w:color w:val="000000"/>
                <w:kern w:val="0"/>
                <w:szCs w:val="21"/>
                <w:lang w:val="en-US" w:eastAsia="zh-CN"/>
              </w:rPr>
              <w:t>0</w:t>
            </w:r>
          </w:p>
        </w:tc>
        <w:tc>
          <w:tcPr>
            <w:tcW w:w="4988" w:type="dxa"/>
            <w:gridSpan w:val="4"/>
            <w:tcBorders>
              <w:top w:val="nil"/>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r>
      <w:tr>
        <w:tblPrEx>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其他资金：</w:t>
            </w:r>
            <w:r>
              <w:rPr>
                <w:rFonts w:hint="eastAsia" w:ascii="仿宋" w:hAnsi="仿宋" w:eastAsia="仿宋" w:cs="仿宋"/>
                <w:color w:val="000000"/>
                <w:kern w:val="0"/>
                <w:szCs w:val="21"/>
                <w:lang w:val="en-US" w:eastAsia="zh-CN"/>
              </w:rPr>
              <w:t>900.55</w:t>
            </w:r>
          </w:p>
        </w:tc>
        <w:tc>
          <w:tcPr>
            <w:tcW w:w="4988" w:type="dxa"/>
            <w:gridSpan w:val="4"/>
            <w:tcBorders>
              <w:top w:val="nil"/>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r>
      <w:tr>
        <w:tblPrEx>
          <w:tblCellMar>
            <w:top w:w="0" w:type="dxa"/>
            <w:left w:w="108" w:type="dxa"/>
            <w:bottom w:w="0" w:type="dxa"/>
            <w:right w:w="108" w:type="dxa"/>
          </w:tblCellMar>
        </w:tblPrEx>
        <w:trPr>
          <w:trHeight w:val="490" w:hRule="atLeast"/>
          <w:jc w:val="center"/>
        </w:trPr>
        <w:tc>
          <w:tcPr>
            <w:tcW w:w="716" w:type="dxa"/>
            <w:vMerge w:val="restart"/>
            <w:tcBorders>
              <w:top w:val="nil"/>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年度总体目标</w:t>
            </w:r>
          </w:p>
        </w:tc>
        <w:tc>
          <w:tcPr>
            <w:tcW w:w="4711" w:type="dxa"/>
            <w:gridSpan w:val="5"/>
            <w:tcBorders>
              <w:top w:val="single" w:color="auto" w:sz="4" w:space="0"/>
              <w:left w:val="nil"/>
              <w:bottom w:val="single" w:color="auto" w:sz="4" w:space="0"/>
              <w:right w:val="single" w:color="000000"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年初目标设定</w:t>
            </w:r>
          </w:p>
        </w:tc>
        <w:tc>
          <w:tcPr>
            <w:tcW w:w="4988" w:type="dxa"/>
            <w:gridSpan w:val="4"/>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全年实际完成情况</w:t>
            </w:r>
          </w:p>
        </w:tc>
      </w:tr>
      <w:tr>
        <w:tblPrEx>
          <w:tblCellMar>
            <w:top w:w="0" w:type="dxa"/>
            <w:left w:w="108" w:type="dxa"/>
            <w:bottom w:w="0" w:type="dxa"/>
            <w:right w:w="108" w:type="dxa"/>
          </w:tblCellMar>
        </w:tblPrEx>
        <w:trPr>
          <w:trHeight w:val="1470" w:hRule="atLeast"/>
          <w:jc w:val="center"/>
        </w:trPr>
        <w:tc>
          <w:tcPr>
            <w:tcW w:w="716"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4711" w:type="dxa"/>
            <w:gridSpan w:val="5"/>
            <w:tcBorders>
              <w:top w:val="single" w:color="auto" w:sz="4" w:space="0"/>
              <w:left w:val="nil"/>
              <w:bottom w:val="single" w:color="auto" w:sz="4" w:space="0"/>
              <w:right w:val="single" w:color="000000" w:sz="4" w:space="0"/>
            </w:tcBorders>
            <w:vAlign w:val="center"/>
          </w:tcPr>
          <w:p>
            <w:pPr>
              <w:pBdr>
                <w:top w:val="none" w:color="auto" w:sz="0" w:space="1"/>
                <w:left w:val="none" w:color="auto" w:sz="0" w:space="4"/>
                <w:bottom w:val="none" w:color="auto" w:sz="0" w:space="1"/>
                <w:right w:val="none" w:color="auto" w:sz="0" w:space="4"/>
              </w:pBdr>
              <w:snapToGrid w:val="0"/>
              <w:spacing w:line="240" w:lineRule="auto"/>
              <w:rPr>
                <w:rFonts w:hint="eastAsia" w:ascii="宋体" w:hAnsi="宋体" w:eastAsia="宋体" w:cs="宋体"/>
                <w:color w:val="0C0C0C"/>
                <w:sz w:val="20"/>
                <w:szCs w:val="20"/>
              </w:rPr>
            </w:pPr>
            <w:r>
              <w:rPr>
                <w:rFonts w:hint="eastAsia" w:ascii="宋体" w:hAnsi="宋体" w:eastAsia="宋体" w:cs="宋体"/>
                <w:i w:val="0"/>
                <w:color w:val="000000"/>
                <w:kern w:val="0"/>
                <w:sz w:val="20"/>
                <w:szCs w:val="20"/>
                <w:u w:val="none"/>
                <w:lang w:val="en-US" w:eastAsia="zh-CN" w:bidi="ar"/>
              </w:rPr>
              <w:t>目标1:</w:t>
            </w:r>
            <w:r>
              <w:rPr>
                <w:rFonts w:hint="eastAsia" w:ascii="宋体" w:hAnsi="宋体" w:cs="宋体"/>
                <w:i w:val="0"/>
                <w:color w:val="000000"/>
                <w:kern w:val="0"/>
                <w:sz w:val="20"/>
                <w:szCs w:val="20"/>
                <w:u w:val="none"/>
                <w:lang w:val="en-US" w:eastAsia="zh-CN" w:bidi="ar"/>
              </w:rPr>
              <w:t>确保义务</w:t>
            </w:r>
            <w:r>
              <w:rPr>
                <w:rFonts w:hint="eastAsia" w:ascii="宋体" w:hAnsi="宋体" w:eastAsia="宋体" w:cs="宋体"/>
                <w:i w:val="0"/>
                <w:color w:val="000000"/>
                <w:kern w:val="0"/>
                <w:sz w:val="20"/>
                <w:szCs w:val="20"/>
                <w:u w:val="none"/>
                <w:lang w:val="en-US" w:eastAsia="zh-CN" w:bidi="ar"/>
              </w:rPr>
              <w:t>教育工作顺利进行</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color w:val="0C0C0C"/>
                <w:sz w:val="20"/>
                <w:szCs w:val="20"/>
              </w:rPr>
              <w:t>厉行节约，控制运</w:t>
            </w:r>
            <w:r>
              <w:rPr>
                <w:rFonts w:hint="eastAsia" w:ascii="宋体" w:hAnsi="宋体" w:cs="宋体"/>
                <w:color w:val="0C0C0C"/>
                <w:sz w:val="20"/>
                <w:szCs w:val="20"/>
                <w:lang w:eastAsia="zh-CN"/>
              </w:rPr>
              <w:t>成</w:t>
            </w:r>
            <w:r>
              <w:rPr>
                <w:rFonts w:hint="eastAsia" w:ascii="宋体" w:hAnsi="宋体" w:eastAsia="宋体" w:cs="宋体"/>
                <w:color w:val="0C0C0C"/>
                <w:sz w:val="20"/>
                <w:szCs w:val="20"/>
              </w:rPr>
              <w:t>本。</w:t>
            </w:r>
          </w:p>
          <w:p>
            <w:pPr>
              <w:widowControl/>
              <w:spacing w:line="220" w:lineRule="exact"/>
              <w:jc w:val="left"/>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目标2：</w:t>
            </w:r>
            <w:r>
              <w:rPr>
                <w:rFonts w:hint="eastAsia" w:ascii="宋体" w:hAnsi="宋体" w:cs="宋体"/>
                <w:i w:val="0"/>
                <w:color w:val="000000"/>
                <w:kern w:val="0"/>
                <w:sz w:val="20"/>
                <w:szCs w:val="20"/>
                <w:u w:val="none"/>
                <w:lang w:val="en-US" w:eastAsia="zh-CN" w:bidi="ar"/>
              </w:rPr>
              <w:t>加强</w:t>
            </w:r>
            <w:r>
              <w:rPr>
                <w:rFonts w:hint="eastAsia" w:ascii="宋体" w:hAnsi="宋体" w:eastAsia="宋体" w:cs="宋体"/>
                <w:i w:val="0"/>
                <w:color w:val="000000"/>
                <w:kern w:val="0"/>
                <w:sz w:val="20"/>
                <w:szCs w:val="20"/>
                <w:u w:val="none"/>
                <w:lang w:val="en-US" w:eastAsia="zh-CN" w:bidi="ar"/>
              </w:rPr>
              <w:t>学校师资队伍建</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保障教职工人员工资及时足额发放。</w:t>
            </w:r>
          </w:p>
        </w:tc>
        <w:tc>
          <w:tcPr>
            <w:tcW w:w="4988" w:type="dxa"/>
            <w:gridSpan w:val="4"/>
            <w:tcBorders>
              <w:top w:val="single" w:color="auto" w:sz="4" w:space="0"/>
              <w:left w:val="nil"/>
              <w:bottom w:val="single" w:color="auto" w:sz="4" w:space="0"/>
              <w:right w:val="single" w:color="auto" w:sz="4" w:space="0"/>
            </w:tcBorders>
            <w:vAlign w:val="center"/>
          </w:tcPr>
          <w:p>
            <w:pPr>
              <w:spacing w:line="240" w:lineRule="exact"/>
              <w:ind w:firstLine="400" w:firstLineChars="20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目标1:投入</w:t>
            </w:r>
            <w:r>
              <w:rPr>
                <w:rFonts w:hint="eastAsia" w:ascii="宋体" w:hAnsi="宋体" w:cs="宋体"/>
                <w:i w:val="0"/>
                <w:color w:val="000000"/>
                <w:kern w:val="0"/>
                <w:sz w:val="20"/>
                <w:szCs w:val="20"/>
                <w:u w:val="none"/>
                <w:lang w:val="en-US" w:eastAsia="zh-CN" w:bidi="ar"/>
              </w:rPr>
              <w:t>1195.59</w:t>
            </w:r>
            <w:r>
              <w:rPr>
                <w:rFonts w:hint="eastAsia" w:ascii="宋体" w:hAnsi="宋体" w:eastAsia="宋体" w:cs="宋体"/>
                <w:i w:val="0"/>
                <w:color w:val="000000"/>
                <w:kern w:val="0"/>
                <w:sz w:val="20"/>
                <w:szCs w:val="20"/>
                <w:u w:val="none"/>
                <w:lang w:val="en-US" w:eastAsia="zh-CN" w:bidi="ar"/>
              </w:rPr>
              <w:t>万元完成了义务教育阶段</w:t>
            </w:r>
            <w:r>
              <w:rPr>
                <w:rFonts w:hint="eastAsia" w:ascii="宋体" w:hAnsi="宋体" w:cs="宋体"/>
                <w:i w:val="0"/>
                <w:color w:val="000000"/>
                <w:kern w:val="0"/>
                <w:sz w:val="20"/>
                <w:szCs w:val="20"/>
                <w:u w:val="none"/>
                <w:lang w:val="en-US" w:eastAsia="zh-CN" w:bidi="ar"/>
              </w:rPr>
              <w:t>2654</w:t>
            </w:r>
            <w:r>
              <w:rPr>
                <w:rFonts w:hint="eastAsia" w:ascii="宋体" w:hAnsi="宋体" w:eastAsia="宋体" w:cs="宋体"/>
                <w:i w:val="0"/>
                <w:color w:val="000000"/>
                <w:kern w:val="0"/>
                <w:sz w:val="20"/>
                <w:szCs w:val="20"/>
                <w:u w:val="none"/>
                <w:lang w:val="en-US" w:eastAsia="zh-CN" w:bidi="ar"/>
              </w:rPr>
              <w:t>名学生</w:t>
            </w:r>
            <w:r>
              <w:rPr>
                <w:rFonts w:hint="eastAsia" w:ascii="宋体" w:hAnsi="宋体" w:cs="宋体"/>
                <w:i w:val="0"/>
                <w:color w:val="000000"/>
                <w:kern w:val="0"/>
                <w:sz w:val="20"/>
                <w:szCs w:val="20"/>
                <w:u w:val="none"/>
                <w:lang w:val="en-US" w:eastAsia="zh-CN" w:bidi="ar"/>
              </w:rPr>
              <w:t>的系统教育</w:t>
            </w:r>
            <w:r>
              <w:rPr>
                <w:rFonts w:hint="eastAsia" w:ascii="宋体" w:hAnsi="宋体" w:eastAsia="宋体" w:cs="宋体"/>
                <w:i w:val="0"/>
                <w:color w:val="000000"/>
                <w:kern w:val="0"/>
                <w:sz w:val="20"/>
                <w:szCs w:val="20"/>
                <w:u w:val="none"/>
                <w:lang w:val="en-US" w:eastAsia="zh-CN" w:bidi="ar"/>
              </w:rPr>
              <w:t>，经费得到充分保</w:t>
            </w:r>
            <w:r>
              <w:rPr>
                <w:rFonts w:hint="eastAsia" w:ascii="宋体" w:hAnsi="宋体" w:cs="宋体"/>
                <w:i w:val="0"/>
                <w:color w:val="000000"/>
                <w:kern w:val="0"/>
                <w:sz w:val="20"/>
                <w:szCs w:val="20"/>
                <w:u w:val="none"/>
                <w:lang w:val="en-US" w:eastAsia="zh-CN" w:bidi="ar"/>
              </w:rPr>
              <w:t>证，</w:t>
            </w:r>
            <w:r>
              <w:rPr>
                <w:rFonts w:hint="eastAsia" w:ascii="宋体" w:hAnsi="宋体" w:eastAsia="宋体" w:cs="宋体"/>
                <w:i w:val="0"/>
                <w:color w:val="000000"/>
                <w:kern w:val="0"/>
                <w:sz w:val="20"/>
                <w:szCs w:val="20"/>
                <w:u w:val="none"/>
                <w:lang w:val="en-US" w:eastAsia="zh-CN" w:bidi="ar"/>
              </w:rPr>
              <w:t>确保义务教育工作顺利进行。</w:t>
            </w:r>
          </w:p>
          <w:p>
            <w:pPr>
              <w:spacing w:line="240" w:lineRule="exact"/>
              <w:ind w:firstLine="400" w:firstLineChars="200"/>
              <w:rPr>
                <w:rFonts w:ascii="仿宋" w:hAnsi="仿宋" w:eastAsia="仿宋" w:cs="仿宋"/>
                <w:color w:val="000000"/>
                <w:kern w:val="0"/>
                <w:szCs w:val="21"/>
              </w:rPr>
            </w:pPr>
            <w:r>
              <w:rPr>
                <w:rFonts w:hint="eastAsia" w:ascii="宋体" w:hAnsi="宋体" w:eastAsia="宋体" w:cs="宋体"/>
                <w:i w:val="0"/>
                <w:color w:val="000000"/>
                <w:kern w:val="0"/>
                <w:sz w:val="20"/>
                <w:szCs w:val="20"/>
                <w:u w:val="none"/>
                <w:lang w:val="en-US" w:eastAsia="zh-CN" w:bidi="ar"/>
              </w:rPr>
              <w:t>目标2：投入</w:t>
            </w:r>
            <w:r>
              <w:rPr>
                <w:rFonts w:hint="eastAsia" w:ascii="宋体" w:hAnsi="宋体" w:cs="宋体"/>
                <w:i w:val="0"/>
                <w:color w:val="000000"/>
                <w:kern w:val="0"/>
                <w:sz w:val="20"/>
                <w:szCs w:val="20"/>
                <w:u w:val="none"/>
                <w:lang w:val="en-US" w:eastAsia="zh-CN" w:bidi="ar"/>
              </w:rPr>
              <w:t>1285.67</w:t>
            </w:r>
            <w:r>
              <w:rPr>
                <w:rFonts w:hint="eastAsia" w:ascii="宋体" w:hAnsi="宋体" w:eastAsia="宋体" w:cs="宋体"/>
                <w:i w:val="0"/>
                <w:color w:val="000000"/>
                <w:kern w:val="0"/>
                <w:sz w:val="20"/>
                <w:szCs w:val="20"/>
                <w:u w:val="none"/>
                <w:lang w:val="en-US" w:eastAsia="zh-CN" w:bidi="ar"/>
              </w:rPr>
              <w:t>万元完成了义务教育阶段教职工人员</w:t>
            </w:r>
            <w:r>
              <w:rPr>
                <w:rFonts w:hint="eastAsia" w:ascii="宋体" w:hAnsi="宋体" w:cs="宋体"/>
                <w:i w:val="0"/>
                <w:color w:val="000000"/>
                <w:kern w:val="0"/>
                <w:sz w:val="20"/>
                <w:szCs w:val="20"/>
                <w:u w:val="none"/>
                <w:lang w:val="en-US" w:eastAsia="zh-CN" w:bidi="ar"/>
              </w:rPr>
              <w:t>经费</w:t>
            </w:r>
            <w:r>
              <w:rPr>
                <w:rFonts w:hint="eastAsia" w:ascii="宋体" w:hAnsi="宋体" w:eastAsia="宋体" w:cs="宋体"/>
                <w:i w:val="0"/>
                <w:color w:val="000000"/>
                <w:kern w:val="0"/>
                <w:sz w:val="20"/>
                <w:szCs w:val="20"/>
                <w:u w:val="none"/>
                <w:lang w:val="en-US" w:eastAsia="zh-CN" w:bidi="ar"/>
              </w:rPr>
              <w:t>及时足额发放</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color w:val="0C0C0C"/>
                <w:sz w:val="20"/>
                <w:szCs w:val="20"/>
              </w:rPr>
              <w:t>人员经费支出严格按照相关政策和标准列支</w:t>
            </w:r>
            <w:r>
              <w:rPr>
                <w:rFonts w:hint="eastAsia" w:ascii="宋体" w:hAnsi="宋体" w:cs="宋体"/>
                <w:color w:val="0C0C0C"/>
                <w:sz w:val="20"/>
                <w:szCs w:val="20"/>
                <w:lang w:eastAsia="zh-CN"/>
              </w:rPr>
              <w:t>。</w:t>
            </w:r>
            <w:r>
              <w:rPr>
                <w:rFonts w:hint="eastAsia" w:ascii="宋体" w:hAnsi="宋体" w:eastAsia="宋体" w:cs="宋体"/>
                <w:i w:val="0"/>
                <w:color w:val="000000"/>
                <w:kern w:val="0"/>
                <w:sz w:val="20"/>
                <w:szCs w:val="20"/>
                <w:u w:val="none"/>
                <w:lang w:val="en-US" w:eastAsia="zh-CN" w:bidi="ar"/>
              </w:rPr>
              <w:br w:type="textWrapping"/>
            </w:r>
          </w:p>
        </w:tc>
      </w:tr>
      <w:tr>
        <w:tblPrEx>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仿宋" w:hAnsi="仿宋" w:eastAsia="仿宋" w:cs="仿宋"/>
                <w:b/>
                <w:bCs/>
                <w:color w:val="000000"/>
                <w:kern w:val="0"/>
                <w:szCs w:val="21"/>
              </w:rPr>
            </w:pPr>
            <w:r>
              <w:rPr>
                <w:rFonts w:hint="eastAsia" w:ascii="仿宋" w:hAnsi="仿宋" w:eastAsia="仿宋" w:cs="仿宋"/>
                <w:b/>
                <w:bCs/>
                <w:color w:val="000000"/>
                <w:kern w:val="0"/>
                <w:szCs w:val="21"/>
              </w:rPr>
              <w:t>绩效</w:t>
            </w:r>
          </w:p>
          <w:p>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指标（90分）</w:t>
            </w:r>
          </w:p>
        </w:tc>
        <w:tc>
          <w:tcPr>
            <w:tcW w:w="85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一级指标</w:t>
            </w:r>
          </w:p>
        </w:tc>
        <w:tc>
          <w:tcPr>
            <w:tcW w:w="770"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二级指标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三级指标</w:t>
            </w:r>
          </w:p>
        </w:tc>
        <w:tc>
          <w:tcPr>
            <w:tcW w:w="148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年度</w:t>
            </w:r>
          </w:p>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指标值</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实际完成值</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得分</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偏差原因</w:t>
            </w:r>
          </w:p>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分析及</w:t>
            </w:r>
          </w:p>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改进措施</w:t>
            </w:r>
          </w:p>
        </w:tc>
      </w:tr>
      <w:tr>
        <w:tblPrEx>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restart"/>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产出指标（50分）</w:t>
            </w:r>
          </w:p>
        </w:tc>
        <w:tc>
          <w:tcPr>
            <w:tcW w:w="770" w:type="dxa"/>
            <w:vMerge w:val="restart"/>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数量   指标</w:t>
            </w:r>
          </w:p>
          <w:p>
            <w:pPr>
              <w:spacing w:line="220" w:lineRule="exact"/>
              <w:jc w:val="center"/>
              <w:rPr>
                <w:rFonts w:ascii="仿宋" w:hAnsi="仿宋" w:eastAsia="仿宋" w:cs="仿宋"/>
                <w:color w:val="000000"/>
                <w:kern w:val="0"/>
                <w:szCs w:val="21"/>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指标1：义务教育阶段学生公用经费补助人数</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2654</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2654</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8</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8</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Cs w:val="21"/>
              </w:rPr>
            </w:pPr>
          </w:p>
        </w:tc>
        <w:tc>
          <w:tcPr>
            <w:tcW w:w="770" w:type="dxa"/>
            <w:vMerge w:val="continue"/>
            <w:tcBorders>
              <w:left w:val="nil"/>
              <w:right w:val="single" w:color="auto" w:sz="4" w:space="0"/>
            </w:tcBorders>
            <w:vAlign w:val="center"/>
          </w:tcPr>
          <w:p>
            <w:pPr>
              <w:spacing w:line="220" w:lineRule="exact"/>
              <w:jc w:val="center"/>
              <w:rPr>
                <w:rFonts w:ascii="仿宋" w:hAnsi="仿宋" w:eastAsia="仿宋" w:cs="仿宋"/>
                <w:color w:val="000000"/>
                <w:kern w:val="0"/>
                <w:szCs w:val="21"/>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指标</w:t>
            </w:r>
            <w:r>
              <w:rPr>
                <w:rFonts w:hint="eastAsia" w:ascii="仿宋" w:hAnsi="仿宋" w:eastAsia="仿宋" w:cs="仿宋"/>
                <w:sz w:val="20"/>
                <w:szCs w:val="20"/>
                <w:lang w:val="en-US" w:eastAsia="zh-CN"/>
              </w:rPr>
              <w:t>2：</w:t>
            </w:r>
            <w:r>
              <w:rPr>
                <w:rFonts w:hint="eastAsia" w:ascii="仿宋" w:hAnsi="仿宋" w:eastAsia="仿宋" w:cs="仿宋"/>
                <w:sz w:val="20"/>
                <w:szCs w:val="20"/>
                <w:lang w:eastAsia="zh-CN"/>
              </w:rPr>
              <w:t>教职工人数</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130</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130</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70" w:type="dxa"/>
            <w:vMerge w:val="restart"/>
            <w:tcBorders>
              <w:top w:val="single" w:color="auto" w:sz="4" w:space="0"/>
              <w:left w:val="nil"/>
              <w:bottom w:val="single" w:color="000000"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质量   指标</w:t>
            </w: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指标1：义务</w:t>
            </w:r>
            <w:r>
              <w:rPr>
                <w:rFonts w:hint="eastAsia" w:ascii="仿宋" w:hAnsi="仿宋" w:eastAsia="仿宋" w:cs="仿宋"/>
                <w:color w:val="000000"/>
                <w:kern w:val="0"/>
                <w:szCs w:val="21"/>
                <w:lang w:eastAsia="zh-CN"/>
              </w:rPr>
              <w:t>教</w:t>
            </w:r>
            <w:r>
              <w:rPr>
                <w:rFonts w:hint="eastAsia" w:ascii="仿宋" w:hAnsi="仿宋" w:eastAsia="仿宋" w:cs="仿宋"/>
                <w:color w:val="000000"/>
                <w:kern w:val="0"/>
                <w:szCs w:val="21"/>
              </w:rPr>
              <w:t>育阶段学生公用经费财政投入</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1195.59</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1195.59</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70"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Cs w:val="21"/>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Cs w:val="21"/>
              </w:rPr>
            </w:pPr>
            <w:r>
              <w:rPr>
                <w:rFonts w:hint="eastAsia" w:ascii="宋体" w:hAnsi="宋体" w:eastAsia="宋体" w:cs="宋体"/>
                <w:i w:val="0"/>
                <w:color w:val="000000"/>
                <w:kern w:val="0"/>
                <w:sz w:val="20"/>
                <w:szCs w:val="20"/>
                <w:u w:val="none"/>
                <w:lang w:val="en-US" w:eastAsia="zh-CN" w:bidi="ar"/>
              </w:rPr>
              <w:t>目标2：</w:t>
            </w:r>
            <w:r>
              <w:rPr>
                <w:rFonts w:hint="eastAsia" w:ascii="宋体" w:hAnsi="宋体" w:cs="宋体"/>
                <w:i w:val="0"/>
                <w:color w:val="000000"/>
                <w:kern w:val="0"/>
                <w:sz w:val="20"/>
                <w:szCs w:val="20"/>
                <w:u w:val="none"/>
                <w:lang w:val="en-US" w:eastAsia="zh-CN" w:bidi="ar"/>
              </w:rPr>
              <w:t>加强</w:t>
            </w:r>
            <w:r>
              <w:rPr>
                <w:rFonts w:hint="eastAsia" w:ascii="宋体" w:hAnsi="宋体" w:eastAsia="宋体" w:cs="宋体"/>
                <w:i w:val="0"/>
                <w:color w:val="000000"/>
                <w:kern w:val="0"/>
                <w:sz w:val="20"/>
                <w:szCs w:val="20"/>
                <w:u w:val="none"/>
                <w:lang w:val="en-US" w:eastAsia="zh-CN" w:bidi="ar"/>
              </w:rPr>
              <w:t>学校师资队伍建</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保障教职工人员工资及时足额发放。</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1285.67</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1285.67</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70" w:type="dxa"/>
            <w:vMerge w:val="restart"/>
            <w:tcBorders>
              <w:top w:val="single" w:color="000000" w:sz="4" w:space="0"/>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时效指标</w:t>
            </w:r>
          </w:p>
        </w:tc>
        <w:tc>
          <w:tcPr>
            <w:tcW w:w="1603" w:type="dxa"/>
            <w:gridSpan w:val="2"/>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义务教育学校公用经费按时发放到位</w:t>
            </w:r>
          </w:p>
        </w:tc>
        <w:tc>
          <w:tcPr>
            <w:tcW w:w="1487" w:type="dxa"/>
            <w:tcBorders>
              <w:top w:val="nil"/>
              <w:left w:val="nil"/>
              <w:bottom w:val="single" w:color="auto" w:sz="4" w:space="0"/>
              <w:right w:val="single" w:color="auto" w:sz="4" w:space="0"/>
            </w:tcBorders>
            <w:vAlign w:val="center"/>
          </w:tcPr>
          <w:p>
            <w:pPr>
              <w:spacing w:line="240" w:lineRule="exact"/>
              <w:rPr>
                <w:rFonts w:ascii="仿宋" w:hAnsi="仿宋" w:eastAsia="仿宋" w:cs="仿宋"/>
                <w:color w:val="000000"/>
                <w:kern w:val="0"/>
                <w:szCs w:val="21"/>
              </w:rPr>
            </w:pPr>
            <w:r>
              <w:rPr>
                <w:rFonts w:hint="eastAsia" w:ascii="仿宋" w:hAnsi="仿宋" w:eastAsia="仿宋" w:cs="仿宋"/>
                <w:color w:val="000000"/>
                <w:kern w:val="0"/>
                <w:szCs w:val="21"/>
              </w:rPr>
              <w:t>分学期发放到位</w:t>
            </w:r>
          </w:p>
        </w:tc>
        <w:tc>
          <w:tcPr>
            <w:tcW w:w="1635" w:type="dxa"/>
            <w:tcBorders>
              <w:top w:val="nil"/>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分学期发放到位</w:t>
            </w: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w:t>
            </w: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70"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Cs w:val="21"/>
              </w:rPr>
            </w:pPr>
          </w:p>
        </w:tc>
        <w:tc>
          <w:tcPr>
            <w:tcW w:w="1603" w:type="dxa"/>
            <w:gridSpan w:val="2"/>
            <w:tcBorders>
              <w:top w:val="nil"/>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教师工资按时发放到位</w:t>
            </w:r>
          </w:p>
        </w:tc>
        <w:tc>
          <w:tcPr>
            <w:tcW w:w="1487" w:type="dxa"/>
            <w:tcBorders>
              <w:top w:val="nil"/>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按月发放到位</w:t>
            </w:r>
          </w:p>
        </w:tc>
        <w:tc>
          <w:tcPr>
            <w:tcW w:w="1635" w:type="dxa"/>
            <w:tcBorders>
              <w:top w:val="nil"/>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eastAsia="zh-CN"/>
              </w:rPr>
              <w:t>按月发放到位</w:t>
            </w: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w:t>
            </w: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90" w:hRule="atLeast"/>
          <w:jc w:val="center"/>
        </w:trPr>
        <w:tc>
          <w:tcPr>
            <w:tcW w:w="716"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成本指标</w:t>
            </w:r>
          </w:p>
        </w:tc>
        <w:tc>
          <w:tcPr>
            <w:tcW w:w="1603" w:type="dxa"/>
            <w:gridSpan w:val="2"/>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义务教育学校公用经费标准</w:t>
            </w:r>
          </w:p>
        </w:tc>
        <w:tc>
          <w:tcPr>
            <w:tcW w:w="148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≥650元/人/年（小学）</w:t>
            </w:r>
          </w:p>
        </w:tc>
        <w:tc>
          <w:tcPr>
            <w:tcW w:w="1635" w:type="dxa"/>
            <w:tcBorders>
              <w:top w:val="nil"/>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sz w:val="20"/>
                <w:szCs w:val="20"/>
              </w:rPr>
              <w:t>≥650元/人/年（小学）</w:t>
            </w: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w:t>
            </w: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效益指标（30分）</w:t>
            </w:r>
          </w:p>
          <w:p>
            <w:pPr>
              <w:widowControl/>
              <w:spacing w:line="220" w:lineRule="exact"/>
              <w:jc w:val="left"/>
              <w:rPr>
                <w:rFonts w:ascii="仿宋" w:hAnsi="仿宋" w:eastAsia="仿宋" w:cs="仿宋"/>
                <w:color w:val="000000"/>
                <w:kern w:val="0"/>
                <w:szCs w:val="21"/>
              </w:rPr>
            </w:pPr>
          </w:p>
          <w:p>
            <w:pPr>
              <w:widowControl/>
              <w:spacing w:line="220" w:lineRule="exact"/>
              <w:jc w:val="left"/>
              <w:rPr>
                <w:rFonts w:ascii="仿宋" w:hAnsi="仿宋" w:eastAsia="仿宋" w:cs="仿宋"/>
                <w:color w:val="000000"/>
                <w:kern w:val="0"/>
                <w:szCs w:val="21"/>
              </w:rPr>
            </w:pPr>
          </w:p>
          <w:p>
            <w:pPr>
              <w:widowControl/>
              <w:spacing w:line="220" w:lineRule="exact"/>
              <w:jc w:val="left"/>
              <w:rPr>
                <w:rFonts w:ascii="仿宋" w:hAnsi="仿宋" w:eastAsia="仿宋" w:cs="仿宋"/>
                <w:color w:val="000000"/>
                <w:kern w:val="0"/>
                <w:szCs w:val="21"/>
              </w:rPr>
            </w:pPr>
          </w:p>
          <w:p>
            <w:pPr>
              <w:widowControl/>
              <w:spacing w:line="220" w:lineRule="exact"/>
              <w:jc w:val="left"/>
              <w:rPr>
                <w:rFonts w:ascii="仿宋" w:hAnsi="仿宋" w:eastAsia="仿宋" w:cs="仿宋"/>
                <w:color w:val="000000"/>
                <w:kern w:val="0"/>
                <w:szCs w:val="21"/>
              </w:rPr>
            </w:pPr>
          </w:p>
          <w:p>
            <w:pPr>
              <w:widowControl/>
              <w:spacing w:line="220" w:lineRule="exact"/>
              <w:jc w:val="left"/>
              <w:rPr>
                <w:rFonts w:ascii="仿宋" w:hAnsi="仿宋" w:eastAsia="仿宋" w:cs="仿宋"/>
                <w:color w:val="000000"/>
                <w:kern w:val="0"/>
                <w:szCs w:val="21"/>
              </w:rPr>
            </w:pPr>
          </w:p>
          <w:p>
            <w:pPr>
              <w:widowControl/>
              <w:spacing w:line="220" w:lineRule="exact"/>
              <w:jc w:val="left"/>
              <w:rPr>
                <w:rFonts w:ascii="仿宋" w:hAnsi="仿宋" w:eastAsia="仿宋" w:cs="仿宋"/>
                <w:color w:val="000000"/>
                <w:kern w:val="0"/>
                <w:szCs w:val="21"/>
              </w:rPr>
            </w:pPr>
          </w:p>
          <w:p>
            <w:pPr>
              <w:widowControl/>
              <w:spacing w:line="220" w:lineRule="exact"/>
              <w:jc w:val="left"/>
              <w:rPr>
                <w:rFonts w:ascii="仿宋" w:hAnsi="仿宋" w:eastAsia="仿宋" w:cs="仿宋"/>
                <w:color w:val="000000"/>
                <w:kern w:val="0"/>
                <w:szCs w:val="21"/>
              </w:rPr>
            </w:pPr>
          </w:p>
          <w:p>
            <w:pPr>
              <w:widowControl/>
              <w:spacing w:line="220" w:lineRule="exact"/>
              <w:jc w:val="left"/>
              <w:rPr>
                <w:rFonts w:ascii="仿宋" w:hAnsi="仿宋" w:eastAsia="仿宋" w:cs="仿宋"/>
                <w:color w:val="000000"/>
                <w:kern w:val="0"/>
                <w:szCs w:val="21"/>
              </w:rPr>
            </w:pPr>
          </w:p>
          <w:p>
            <w:pPr>
              <w:widowControl/>
              <w:spacing w:line="220" w:lineRule="exact"/>
              <w:jc w:val="left"/>
              <w:rPr>
                <w:rFonts w:ascii="仿宋" w:hAnsi="仿宋" w:eastAsia="仿宋" w:cs="仿宋"/>
                <w:color w:val="000000"/>
                <w:kern w:val="0"/>
                <w:szCs w:val="21"/>
              </w:rPr>
            </w:pPr>
          </w:p>
          <w:p>
            <w:pPr>
              <w:spacing w:line="220" w:lineRule="exact"/>
              <w:jc w:val="left"/>
              <w:rPr>
                <w:rFonts w:ascii="仿宋" w:hAnsi="仿宋" w:eastAsia="仿宋" w:cs="仿宋"/>
                <w:color w:val="000000"/>
                <w:kern w:val="0"/>
                <w:szCs w:val="21"/>
              </w:rPr>
            </w:pPr>
          </w:p>
        </w:tc>
        <w:tc>
          <w:tcPr>
            <w:tcW w:w="770"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经济效益指标</w:t>
            </w:r>
          </w:p>
        </w:tc>
        <w:tc>
          <w:tcPr>
            <w:tcW w:w="1603" w:type="dxa"/>
            <w:gridSpan w:val="2"/>
            <w:tcBorders>
              <w:top w:val="single" w:color="000000" w:sz="4" w:space="0"/>
              <w:left w:val="single" w:color="auto" w:sz="4" w:space="0"/>
              <w:bottom w:val="single" w:color="000000" w:sz="4" w:space="0"/>
              <w:right w:val="single" w:color="auto" w:sz="4" w:space="0"/>
            </w:tcBorders>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指标1：生均公用经投入水平</w:t>
            </w:r>
          </w:p>
        </w:tc>
        <w:tc>
          <w:tcPr>
            <w:tcW w:w="1487" w:type="dxa"/>
            <w:tcBorders>
              <w:top w:val="single" w:color="000000" w:sz="4" w:space="0"/>
              <w:left w:val="nil"/>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lang w:eastAsia="zh-CN"/>
              </w:rPr>
              <w:t>增长</w:t>
            </w:r>
          </w:p>
        </w:tc>
        <w:tc>
          <w:tcPr>
            <w:tcW w:w="1635" w:type="dxa"/>
            <w:tcBorders>
              <w:top w:val="single" w:color="000000" w:sz="4" w:space="0"/>
              <w:left w:val="nil"/>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sz w:val="20"/>
                <w:szCs w:val="20"/>
                <w:lang w:eastAsia="zh-CN"/>
              </w:rPr>
              <w:t>增长</w:t>
            </w:r>
          </w:p>
        </w:tc>
        <w:tc>
          <w:tcPr>
            <w:tcW w:w="825" w:type="dxa"/>
            <w:tcBorders>
              <w:top w:val="single" w:color="000000" w:sz="4" w:space="0"/>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455" w:type="dxa"/>
            <w:tcBorders>
              <w:top w:val="single" w:color="000000" w:sz="4" w:space="0"/>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073" w:type="dxa"/>
            <w:tcBorders>
              <w:top w:val="single" w:color="000000" w:sz="4" w:space="0"/>
              <w:left w:val="nil"/>
              <w:bottom w:val="single" w:color="000000"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ascii="仿宋" w:hAnsi="仿宋" w:eastAsia="仿宋" w:cs="仿宋"/>
                <w:color w:val="000000"/>
                <w:kern w:val="0"/>
                <w:szCs w:val="21"/>
              </w:rPr>
            </w:pPr>
          </w:p>
        </w:tc>
        <w:tc>
          <w:tcPr>
            <w:tcW w:w="770" w:type="dxa"/>
            <w:vMerge w:val="continue"/>
            <w:tcBorders>
              <w:top w:val="single" w:color="000000" w:sz="4" w:space="0"/>
              <w:left w:val="single" w:color="auto" w:sz="4" w:space="0"/>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eastAsia="zh-CN"/>
              </w:rPr>
              <w:t>指标1：教职工工资投入水平</w:t>
            </w: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ascii="仿宋" w:hAnsi="仿宋" w:eastAsia="仿宋" w:cs="仿宋"/>
                <w:color w:val="000000"/>
                <w:kern w:val="0"/>
                <w:szCs w:val="21"/>
              </w:rPr>
            </w:pPr>
            <w:r>
              <w:rPr>
                <w:rFonts w:hint="eastAsia" w:ascii="仿宋" w:hAnsi="仿宋" w:eastAsia="仿宋" w:cs="仿宋"/>
                <w:sz w:val="20"/>
                <w:szCs w:val="20"/>
                <w:lang w:eastAsia="zh-CN"/>
              </w:rPr>
              <w:t>增长</w:t>
            </w:r>
          </w:p>
        </w:tc>
        <w:tc>
          <w:tcPr>
            <w:tcW w:w="1635" w:type="dxa"/>
            <w:tcBorders>
              <w:top w:val="single" w:color="000000" w:sz="4" w:space="0"/>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sz w:val="20"/>
                <w:szCs w:val="20"/>
                <w:lang w:eastAsia="zh-CN"/>
              </w:rPr>
              <w:t>增长</w:t>
            </w:r>
          </w:p>
        </w:tc>
        <w:tc>
          <w:tcPr>
            <w:tcW w:w="82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w:t>
            </w:r>
          </w:p>
        </w:tc>
        <w:tc>
          <w:tcPr>
            <w:tcW w:w="145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w:t>
            </w:r>
          </w:p>
        </w:tc>
        <w:tc>
          <w:tcPr>
            <w:tcW w:w="1073"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5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ascii="仿宋" w:hAnsi="仿宋" w:eastAsia="仿宋" w:cs="仿宋"/>
                <w:color w:val="000000"/>
                <w:kern w:val="0"/>
                <w:szCs w:val="21"/>
              </w:rPr>
            </w:pPr>
          </w:p>
        </w:tc>
        <w:tc>
          <w:tcPr>
            <w:tcW w:w="770" w:type="dxa"/>
            <w:tcBorders>
              <w:top w:val="single" w:color="000000" w:sz="4" w:space="0"/>
              <w:left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社会效益指标</w:t>
            </w: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指标1：因贫困失学、辍学现象</w:t>
            </w: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无</w:t>
            </w:r>
          </w:p>
        </w:tc>
        <w:tc>
          <w:tcPr>
            <w:tcW w:w="1635" w:type="dxa"/>
            <w:tcBorders>
              <w:top w:val="single" w:color="000000"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无</w:t>
            </w:r>
          </w:p>
        </w:tc>
        <w:tc>
          <w:tcPr>
            <w:tcW w:w="82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w:t>
            </w:r>
          </w:p>
        </w:tc>
        <w:tc>
          <w:tcPr>
            <w:tcW w:w="145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w:t>
            </w:r>
          </w:p>
        </w:tc>
        <w:tc>
          <w:tcPr>
            <w:tcW w:w="1073"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2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ascii="仿宋" w:hAnsi="仿宋" w:eastAsia="仿宋" w:cs="仿宋"/>
                <w:color w:val="000000"/>
                <w:kern w:val="0"/>
                <w:szCs w:val="21"/>
              </w:rPr>
            </w:pPr>
          </w:p>
        </w:tc>
        <w:tc>
          <w:tcPr>
            <w:tcW w:w="770" w:type="dxa"/>
            <w:vMerge w:val="restart"/>
            <w:tcBorders>
              <w:top w:val="single" w:color="000000" w:sz="4" w:space="0"/>
              <w:left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生态效益指标</w:t>
            </w: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指标1：无</w:t>
            </w: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ascii="仿宋" w:hAnsi="仿宋" w:eastAsia="仿宋" w:cs="仿宋"/>
                <w:color w:val="000000"/>
                <w:kern w:val="0"/>
                <w:szCs w:val="21"/>
              </w:rPr>
            </w:pPr>
            <w:r>
              <w:rPr>
                <w:rFonts w:hint="eastAsia" w:ascii="仿宋" w:hAnsi="仿宋" w:eastAsia="仿宋" w:cs="仿宋"/>
                <w:color w:val="000000"/>
                <w:kern w:val="0"/>
                <w:szCs w:val="21"/>
                <w:lang w:eastAsia="zh-CN"/>
              </w:rPr>
              <w:t>无</w:t>
            </w:r>
          </w:p>
        </w:tc>
        <w:tc>
          <w:tcPr>
            <w:tcW w:w="1635" w:type="dxa"/>
            <w:tcBorders>
              <w:top w:val="single" w:color="000000" w:sz="4" w:space="0"/>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lang w:eastAsia="zh-CN"/>
              </w:rPr>
              <w:t>无</w:t>
            </w:r>
          </w:p>
        </w:tc>
        <w:tc>
          <w:tcPr>
            <w:tcW w:w="82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w:t>
            </w:r>
          </w:p>
        </w:tc>
        <w:tc>
          <w:tcPr>
            <w:tcW w:w="145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w:t>
            </w:r>
          </w:p>
        </w:tc>
        <w:tc>
          <w:tcPr>
            <w:tcW w:w="1073"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6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ascii="仿宋" w:hAnsi="仿宋" w:eastAsia="仿宋" w:cs="仿宋"/>
                <w:color w:val="000000"/>
                <w:kern w:val="0"/>
                <w:szCs w:val="21"/>
              </w:rPr>
            </w:pPr>
          </w:p>
        </w:tc>
        <w:tc>
          <w:tcPr>
            <w:tcW w:w="770"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指标</w:t>
            </w:r>
            <w:r>
              <w:rPr>
                <w:rFonts w:hint="eastAsia" w:ascii="仿宋" w:hAnsi="仿宋" w:eastAsia="仿宋" w:cs="仿宋"/>
                <w:color w:val="000000"/>
                <w:kern w:val="0"/>
                <w:szCs w:val="21"/>
                <w:lang w:val="en-US" w:eastAsia="zh-CN"/>
              </w:rPr>
              <w:t>2</w:t>
            </w:r>
            <w:r>
              <w:rPr>
                <w:rFonts w:hint="eastAsia" w:ascii="仿宋" w:hAnsi="仿宋" w:eastAsia="仿宋" w:cs="仿宋"/>
                <w:color w:val="000000"/>
                <w:kern w:val="0"/>
                <w:szCs w:val="21"/>
              </w:rPr>
              <w:t>：无</w:t>
            </w: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ascii="仿宋" w:hAnsi="仿宋" w:eastAsia="仿宋" w:cs="仿宋"/>
                <w:color w:val="000000"/>
                <w:kern w:val="0"/>
                <w:szCs w:val="21"/>
              </w:rPr>
            </w:pPr>
            <w:r>
              <w:rPr>
                <w:rFonts w:hint="eastAsia" w:ascii="仿宋" w:hAnsi="仿宋" w:eastAsia="仿宋" w:cs="仿宋"/>
                <w:color w:val="000000"/>
                <w:kern w:val="0"/>
                <w:szCs w:val="21"/>
                <w:lang w:eastAsia="zh-CN"/>
              </w:rPr>
              <w:t>无</w:t>
            </w:r>
          </w:p>
        </w:tc>
        <w:tc>
          <w:tcPr>
            <w:tcW w:w="1635" w:type="dxa"/>
            <w:tcBorders>
              <w:top w:val="single" w:color="000000" w:sz="4" w:space="0"/>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lang w:eastAsia="zh-CN"/>
              </w:rPr>
              <w:t>无</w:t>
            </w:r>
          </w:p>
        </w:tc>
        <w:tc>
          <w:tcPr>
            <w:tcW w:w="82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w:t>
            </w:r>
          </w:p>
        </w:tc>
        <w:tc>
          <w:tcPr>
            <w:tcW w:w="145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w:t>
            </w:r>
          </w:p>
        </w:tc>
        <w:tc>
          <w:tcPr>
            <w:tcW w:w="1073"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ascii="仿宋" w:hAnsi="仿宋" w:eastAsia="仿宋" w:cs="仿宋"/>
                <w:color w:val="000000"/>
                <w:kern w:val="0"/>
                <w:szCs w:val="21"/>
              </w:rPr>
            </w:pPr>
          </w:p>
        </w:tc>
        <w:tc>
          <w:tcPr>
            <w:tcW w:w="770" w:type="dxa"/>
            <w:vMerge w:val="restart"/>
            <w:tcBorders>
              <w:top w:val="single" w:color="000000" w:sz="4" w:space="0"/>
              <w:left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可持续影响指标</w:t>
            </w:r>
          </w:p>
          <w:p>
            <w:pPr>
              <w:widowControl/>
              <w:spacing w:line="220" w:lineRule="exact"/>
              <w:jc w:val="center"/>
              <w:rPr>
                <w:rFonts w:ascii="仿宋" w:hAnsi="仿宋" w:eastAsia="仿宋" w:cs="仿宋"/>
                <w:color w:val="000000"/>
                <w:kern w:val="0"/>
                <w:szCs w:val="21"/>
              </w:rPr>
            </w:pP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指标1：义务教育阶段适龄学生上学需求</w:t>
            </w: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ascii="仿宋" w:hAnsi="仿宋" w:eastAsia="仿宋" w:cs="仿宋"/>
                <w:color w:val="000000"/>
                <w:kern w:val="0"/>
                <w:szCs w:val="21"/>
              </w:rPr>
            </w:pPr>
            <w:r>
              <w:rPr>
                <w:rFonts w:hint="eastAsia" w:ascii="仿宋" w:hAnsi="仿宋" w:eastAsia="仿宋" w:cs="仿宋"/>
                <w:color w:val="000000"/>
                <w:kern w:val="0"/>
                <w:szCs w:val="21"/>
              </w:rPr>
              <w:t>基本满足</w:t>
            </w:r>
          </w:p>
        </w:tc>
        <w:tc>
          <w:tcPr>
            <w:tcW w:w="1635" w:type="dxa"/>
            <w:tcBorders>
              <w:top w:val="single" w:color="000000" w:sz="4" w:space="0"/>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基本满足</w:t>
            </w:r>
          </w:p>
        </w:tc>
        <w:tc>
          <w:tcPr>
            <w:tcW w:w="82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w:t>
            </w:r>
          </w:p>
        </w:tc>
        <w:tc>
          <w:tcPr>
            <w:tcW w:w="145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w:t>
            </w:r>
          </w:p>
        </w:tc>
        <w:tc>
          <w:tcPr>
            <w:tcW w:w="1073"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3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70" w:type="dxa"/>
            <w:vMerge w:val="continue"/>
            <w:tcBorders>
              <w:left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1603" w:type="dxa"/>
            <w:gridSpan w:val="2"/>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指标</w:t>
            </w:r>
            <w:r>
              <w:rPr>
                <w:rFonts w:hint="eastAsia" w:ascii="仿宋" w:hAnsi="仿宋" w:eastAsia="仿宋" w:cs="仿宋"/>
                <w:color w:val="000000"/>
                <w:kern w:val="0"/>
                <w:szCs w:val="21"/>
                <w:lang w:val="en-US" w:eastAsia="zh-CN"/>
              </w:rPr>
              <w:t>2</w:t>
            </w:r>
            <w:r>
              <w:rPr>
                <w:rFonts w:hint="eastAsia" w:ascii="仿宋" w:hAnsi="仿宋" w:eastAsia="仿宋" w:cs="仿宋"/>
                <w:color w:val="000000"/>
                <w:kern w:val="0"/>
                <w:szCs w:val="21"/>
              </w:rPr>
              <w:t>：义务教育</w:t>
            </w:r>
            <w:r>
              <w:rPr>
                <w:rFonts w:hint="eastAsia" w:ascii="仿宋" w:hAnsi="仿宋" w:eastAsia="仿宋" w:cs="仿宋"/>
                <w:color w:val="000000"/>
                <w:kern w:val="0"/>
                <w:szCs w:val="21"/>
                <w:lang w:eastAsia="zh-CN"/>
              </w:rPr>
              <w:t>学校公用经费</w:t>
            </w:r>
            <w:r>
              <w:rPr>
                <w:rFonts w:hint="eastAsia" w:ascii="仿宋" w:hAnsi="仿宋" w:eastAsia="仿宋" w:cs="仿宋"/>
                <w:color w:val="000000"/>
                <w:kern w:val="0"/>
                <w:szCs w:val="21"/>
              </w:rPr>
              <w:t>需求</w:t>
            </w:r>
          </w:p>
        </w:tc>
        <w:tc>
          <w:tcPr>
            <w:tcW w:w="1487" w:type="dxa"/>
            <w:tcBorders>
              <w:top w:val="nil"/>
              <w:left w:val="nil"/>
              <w:bottom w:val="single" w:color="auto" w:sz="4" w:space="0"/>
              <w:right w:val="single" w:color="auto" w:sz="4" w:space="0"/>
            </w:tcBorders>
            <w:vAlign w:val="center"/>
          </w:tcPr>
          <w:p>
            <w:pPr>
              <w:spacing w:line="240" w:lineRule="exact"/>
              <w:rPr>
                <w:rFonts w:ascii="仿宋" w:hAnsi="仿宋" w:eastAsia="仿宋" w:cs="仿宋"/>
                <w:color w:val="000000"/>
                <w:kern w:val="0"/>
                <w:szCs w:val="21"/>
              </w:rPr>
            </w:pPr>
            <w:r>
              <w:rPr>
                <w:rFonts w:hint="eastAsia" w:ascii="仿宋" w:hAnsi="仿宋" w:eastAsia="仿宋" w:cs="仿宋"/>
                <w:color w:val="000000"/>
                <w:kern w:val="0"/>
                <w:szCs w:val="21"/>
              </w:rPr>
              <w:t>基本满足</w:t>
            </w:r>
          </w:p>
        </w:tc>
        <w:tc>
          <w:tcPr>
            <w:tcW w:w="1635" w:type="dxa"/>
            <w:tcBorders>
              <w:top w:val="nil"/>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基本满足</w:t>
            </w: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w:t>
            </w: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658"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restart"/>
            <w:tcBorders>
              <w:top w:val="single" w:color="auto" w:sz="4" w:space="0"/>
              <w:left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满意度指标（10分）</w:t>
            </w:r>
          </w:p>
        </w:tc>
        <w:tc>
          <w:tcPr>
            <w:tcW w:w="770" w:type="dxa"/>
            <w:vMerge w:val="restart"/>
            <w:tcBorders>
              <w:top w:val="single" w:color="000000" w:sz="6"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sz w:val="20"/>
                <w:szCs w:val="20"/>
              </w:rPr>
              <w:t>服务对象满意度指标</w:t>
            </w: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指标1：学生满意度</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100%</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100%</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668" w:hRule="atLeast"/>
          <w:jc w:val="center"/>
        </w:trPr>
        <w:tc>
          <w:tcPr>
            <w:tcW w:w="716" w:type="dxa"/>
            <w:tcBorders>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770" w:type="dxa"/>
            <w:vMerge w:val="continue"/>
            <w:tcBorders>
              <w:left w:val="single" w:color="auto" w:sz="4" w:space="0"/>
              <w:right w:val="single" w:color="auto" w:sz="4" w:space="0"/>
            </w:tcBorders>
            <w:vAlign w:val="center"/>
          </w:tcPr>
          <w:p>
            <w:pPr>
              <w:widowControl/>
              <w:spacing w:line="220" w:lineRule="exact"/>
              <w:jc w:val="left"/>
              <w:rPr>
                <w:rFonts w:ascii="仿宋" w:hAnsi="仿宋" w:eastAsia="仿宋" w:cs="仿宋"/>
                <w:sz w:val="20"/>
                <w:szCs w:val="20"/>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2"/>
                <w:sz w:val="20"/>
                <w:szCs w:val="20"/>
                <w:lang w:val="en-US" w:eastAsia="zh-CN" w:bidi="ar-SA"/>
              </w:rPr>
            </w:pPr>
            <w:r>
              <w:rPr>
                <w:rFonts w:hint="eastAsia" w:ascii="仿宋" w:hAnsi="仿宋" w:eastAsia="仿宋" w:cs="仿宋"/>
                <w:sz w:val="20"/>
                <w:szCs w:val="20"/>
              </w:rPr>
              <w:t>指标</w:t>
            </w:r>
            <w:r>
              <w:rPr>
                <w:rFonts w:hint="eastAsia" w:ascii="仿宋" w:hAnsi="仿宋" w:eastAsia="仿宋" w:cs="仿宋"/>
                <w:sz w:val="20"/>
                <w:szCs w:val="20"/>
                <w:lang w:val="en-US" w:eastAsia="zh-CN"/>
              </w:rPr>
              <w:t>2</w:t>
            </w:r>
            <w:r>
              <w:rPr>
                <w:rFonts w:hint="eastAsia" w:ascii="仿宋" w:hAnsi="仿宋" w:eastAsia="仿宋" w:cs="仿宋"/>
                <w:sz w:val="20"/>
                <w:szCs w:val="20"/>
              </w:rPr>
              <w:t>：</w:t>
            </w:r>
            <w:r>
              <w:rPr>
                <w:rFonts w:hint="eastAsia" w:ascii="仿宋" w:hAnsi="仿宋" w:eastAsia="仿宋" w:cs="仿宋"/>
                <w:sz w:val="20"/>
                <w:szCs w:val="20"/>
                <w:lang w:eastAsia="zh-CN"/>
              </w:rPr>
              <w:t>老师</w:t>
            </w:r>
            <w:r>
              <w:rPr>
                <w:rFonts w:hint="eastAsia" w:ascii="仿宋" w:hAnsi="仿宋" w:eastAsia="仿宋" w:cs="仿宋"/>
                <w:sz w:val="20"/>
                <w:szCs w:val="20"/>
              </w:rPr>
              <w:t>满意度</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100%</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100%</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总分</w:t>
            </w: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100</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90</w:t>
            </w: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bl>
    <w:p>
      <w:pPr>
        <w:spacing w:line="300" w:lineRule="exact"/>
        <w:jc w:val="center"/>
        <w:rPr>
          <w:rFonts w:ascii="仿宋" w:hAnsi="仿宋" w:eastAsia="仿宋" w:cs="仿宋"/>
          <w:sz w:val="44"/>
        </w:rPr>
      </w:pPr>
    </w:p>
    <w:p>
      <w:pPr>
        <w:pStyle w:val="3"/>
        <w:widowControl/>
        <w:shd w:val="clear" w:color="auto" w:fill="FFFFFF"/>
        <w:spacing w:beforeAutospacing="0" w:afterAutospacing="0" w:line="480" w:lineRule="atLeast"/>
        <w:jc w:val="both"/>
        <w:rPr>
          <w:rFonts w:ascii="仿宋_GB2312" w:eastAsia="仿宋_GB2312" w:cs="仿宋_GB2312"/>
          <w:color w:val="000000"/>
          <w:shd w:val="clear" w:color="auto" w:fill="FFFFFF"/>
        </w:rPr>
      </w:pPr>
    </w:p>
    <w:p>
      <w:pPr>
        <w:pStyle w:val="3"/>
        <w:widowControl/>
        <w:shd w:val="clear" w:color="auto" w:fill="FFFFFF"/>
        <w:spacing w:beforeAutospacing="0" w:afterAutospacing="0" w:line="480" w:lineRule="atLeast"/>
        <w:ind w:left="960" w:hanging="960" w:hangingChars="400"/>
        <w:jc w:val="both"/>
        <w:rPr>
          <w:rFonts w:ascii="仿宋_GB2312" w:eastAsia="仿宋_GB2312" w:cs="仿宋_GB2312"/>
          <w:color w:val="000000"/>
        </w:rPr>
      </w:pPr>
      <w:r>
        <w:rPr>
          <w:rFonts w:ascii="仿宋_GB2312" w:eastAsia="仿宋_GB2312" w:cs="仿宋_GB2312"/>
          <w:color w:val="000000"/>
          <w:shd w:val="clear" w:color="auto" w:fill="FFFFFF"/>
        </w:rPr>
        <w:t>说明：1.分值设定100分，其中预算执行率10分、产出指标50分、效益指标30分、满意度指标10分。除预算执行率外的指标应根据权重自行合理设定分值。</w:t>
      </w:r>
    </w:p>
    <w:p>
      <w:pPr>
        <w:pStyle w:val="3"/>
        <w:widowControl/>
        <w:shd w:val="clear" w:color="auto" w:fill="FFFFFF"/>
        <w:spacing w:beforeAutospacing="0" w:afterAutospacing="0" w:line="480" w:lineRule="atLeast"/>
        <w:ind w:left="960" w:hanging="960" w:hangingChars="400"/>
        <w:jc w:val="both"/>
        <w:rPr>
          <w:rFonts w:ascii="仿宋_GB2312" w:eastAsia="仿宋_GB2312" w:cs="仿宋_GB2312"/>
          <w:color w:val="000000"/>
        </w:rPr>
      </w:pPr>
      <w:r>
        <w:rPr>
          <w:rFonts w:ascii="仿宋_GB2312" w:eastAsia="仿宋_GB2312" w:cs="仿宋_GB2312"/>
          <w:color w:val="000000"/>
          <w:shd w:val="clear" w:color="auto" w:fill="FFFFFF"/>
        </w:rPr>
        <w:t>     </w:t>
      </w:r>
      <w:r>
        <w:rPr>
          <w:rFonts w:hint="eastAsia" w:ascii="仿宋_GB2312" w:eastAsia="仿宋_GB2312" w:cs="仿宋_GB2312"/>
          <w:color w:val="000000"/>
          <w:shd w:val="clear" w:color="auto" w:fill="FFFFFF"/>
        </w:rPr>
        <w:t xml:space="preserve">  </w:t>
      </w:r>
      <w:r>
        <w:rPr>
          <w:rFonts w:ascii="仿宋_GB2312" w:eastAsia="仿宋_GB2312" w:cs="仿宋_GB2312"/>
          <w:color w:val="000000"/>
          <w:shd w:val="clear" w:color="auto" w:fill="FFFFFF"/>
        </w:rPr>
        <w:t>2.综合评价等级分为优秀（</w:t>
      </w:r>
      <w:r>
        <w:rPr>
          <w:rFonts w:hint="eastAsia" w:ascii="仿宋_GB2312" w:eastAsia="仿宋_GB2312" w:cs="仿宋_GB2312"/>
          <w:color w:val="000000"/>
          <w:shd w:val="clear" w:color="auto" w:fill="FFFFFF"/>
        </w:rPr>
        <w:t>大于</w:t>
      </w:r>
      <w:r>
        <w:rPr>
          <w:rFonts w:ascii="仿宋_GB2312" w:eastAsia="仿宋_GB2312" w:cs="仿宋_GB2312"/>
          <w:color w:val="000000"/>
          <w:shd w:val="clear" w:color="auto" w:fill="FFFFFF"/>
        </w:rPr>
        <w:t>90</w:t>
      </w:r>
      <w:r>
        <w:rPr>
          <w:rFonts w:hint="eastAsia" w:ascii="仿宋_GB2312" w:eastAsia="仿宋_GB2312" w:cs="仿宋_GB2312"/>
          <w:color w:val="000000"/>
          <w:shd w:val="clear" w:color="auto" w:fill="FFFFFF"/>
        </w:rPr>
        <w:t>分</w:t>
      </w:r>
      <w:r>
        <w:rPr>
          <w:rFonts w:ascii="仿宋_GB2312" w:eastAsia="仿宋_GB2312" w:cs="仿宋_GB2312"/>
          <w:color w:val="000000"/>
          <w:shd w:val="clear" w:color="auto" w:fill="FFFFFF"/>
        </w:rPr>
        <w:t>）、良好（</w:t>
      </w:r>
      <w:r>
        <w:rPr>
          <w:rFonts w:hint="eastAsia" w:ascii="仿宋_GB2312" w:eastAsia="仿宋_GB2312" w:cs="仿宋_GB2312"/>
          <w:color w:val="000000"/>
          <w:shd w:val="clear" w:color="auto" w:fill="FFFFFF"/>
        </w:rPr>
        <w:t>80-90分</w:t>
      </w:r>
      <w:r>
        <w:rPr>
          <w:rFonts w:ascii="仿宋_GB2312" w:eastAsia="仿宋_GB2312" w:cs="仿宋_GB2312"/>
          <w:color w:val="000000"/>
          <w:shd w:val="clear" w:color="auto" w:fill="FFFFFF"/>
        </w:rPr>
        <w:t>）、较差（</w:t>
      </w:r>
      <w:r>
        <w:rPr>
          <w:rFonts w:hint="eastAsia" w:ascii="仿宋_GB2312" w:eastAsia="仿宋_GB2312" w:cs="仿宋_GB2312"/>
          <w:color w:val="000000"/>
          <w:shd w:val="clear" w:color="auto" w:fill="FFFFFF"/>
        </w:rPr>
        <w:t>60-80分</w:t>
      </w:r>
      <w:r>
        <w:rPr>
          <w:rFonts w:ascii="仿宋_GB2312" w:eastAsia="仿宋_GB2312" w:cs="仿宋_GB2312"/>
          <w:color w:val="000000"/>
          <w:shd w:val="clear" w:color="auto" w:fill="FFFFFF"/>
        </w:rPr>
        <w:t>）、 差（</w:t>
      </w:r>
      <w:r>
        <w:rPr>
          <w:rFonts w:hint="eastAsia" w:ascii="仿宋_GB2312" w:eastAsia="仿宋_GB2312" w:cs="仿宋_GB2312"/>
          <w:color w:val="000000"/>
          <w:shd w:val="clear" w:color="auto" w:fill="FFFFFF"/>
        </w:rPr>
        <w:t>小于60分</w:t>
      </w:r>
      <w:r>
        <w:rPr>
          <w:rFonts w:ascii="仿宋_GB2312" w:eastAsia="仿宋_GB2312" w:cs="仿宋_GB2312"/>
          <w:color w:val="000000"/>
          <w:shd w:val="clear" w:color="auto" w:fill="FFFFFF"/>
        </w:rPr>
        <w:t>）</w:t>
      </w:r>
      <w:r>
        <w:rPr>
          <w:rFonts w:ascii="Calibri" w:hAnsi="Calibri" w:eastAsia="仿宋_GB2312" w:cs="Calibri"/>
          <w:color w:val="000000"/>
          <w:shd w:val="clear" w:color="auto" w:fill="FFFFFF"/>
        </w:rPr>
        <w:t>。</w:t>
      </w:r>
    </w:p>
    <w:p>
      <w:pPr>
        <w:pStyle w:val="3"/>
        <w:widowControl/>
        <w:shd w:val="clear" w:color="auto" w:fill="FFFFFF"/>
        <w:spacing w:beforeAutospacing="0" w:afterAutospacing="0" w:line="480" w:lineRule="atLeast"/>
        <w:jc w:val="both"/>
        <w:rPr>
          <w:rFonts w:ascii="仿宋_GB2312" w:eastAsia="仿宋_GB2312" w:cs="仿宋_GB2312"/>
          <w:color w:val="000000"/>
        </w:rPr>
      </w:pPr>
      <w:r>
        <w:rPr>
          <w:rFonts w:ascii="仿宋_GB2312" w:eastAsia="仿宋_GB2312" w:cs="仿宋_GB2312"/>
          <w:color w:val="000000"/>
          <w:shd w:val="clear" w:color="auto" w:fill="FFFFFF"/>
        </w:rPr>
        <w:t>     </w:t>
      </w:r>
      <w:r>
        <w:rPr>
          <w:rFonts w:hint="eastAsia" w:ascii="仿宋_GB2312" w:eastAsia="仿宋_GB2312" w:cs="仿宋_GB2312"/>
          <w:color w:val="000000"/>
          <w:shd w:val="clear" w:color="auto" w:fill="FFFFFF"/>
        </w:rPr>
        <w:t xml:space="preserve">  </w:t>
      </w:r>
      <w:r>
        <w:rPr>
          <w:rFonts w:ascii="仿宋_GB2312" w:eastAsia="仿宋_GB2312" w:cs="仿宋_GB2312"/>
          <w:color w:val="000000"/>
          <w:shd w:val="clear" w:color="auto" w:fill="FFFFFF"/>
        </w:rPr>
        <w:t>3.三级绩效指标按需自行增减行。个别不涉及的二级指标可删除不要。</w:t>
      </w:r>
    </w:p>
    <w:p>
      <w:pPr>
        <w:pStyle w:val="3"/>
        <w:widowControl/>
        <w:shd w:val="clear" w:color="auto" w:fill="FFFFFF"/>
        <w:spacing w:beforeAutospacing="0" w:afterAutospacing="0" w:line="480" w:lineRule="atLeast"/>
        <w:rPr>
          <w:rFonts w:ascii="微软雅黑" w:hAnsi="微软雅黑" w:eastAsia="微软雅黑" w:cs="微软雅黑"/>
          <w:color w:val="000000"/>
        </w:rPr>
      </w:pPr>
    </w:p>
    <w:p>
      <w:pPr>
        <w:pStyle w:val="3"/>
        <w:widowControl/>
        <w:shd w:val="clear" w:color="auto" w:fill="FFFFFF"/>
        <w:spacing w:before="62" w:beforeAutospacing="0" w:afterAutospacing="0" w:line="480" w:lineRule="atLeast"/>
        <w:jc w:val="both"/>
        <w:rPr>
          <w:color w:val="000000"/>
        </w:rPr>
      </w:pPr>
    </w:p>
    <w:p>
      <w:pPr>
        <w:pStyle w:val="3"/>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3"/>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3"/>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3"/>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3"/>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3"/>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3"/>
        <w:widowControl/>
        <w:shd w:val="clear" w:color="auto" w:fill="FFFFFF"/>
        <w:spacing w:beforeAutospacing="0" w:afterAutospacing="0" w:line="480" w:lineRule="atLeast"/>
        <w:jc w:val="both"/>
        <w:rPr>
          <w:rFonts w:ascii="黑体" w:hAnsi="黑体" w:eastAsia="黑体" w:cs="黑体"/>
          <w:color w:val="000000"/>
          <w:sz w:val="32"/>
          <w:szCs w:val="32"/>
          <w:shd w:val="clear" w:color="auto" w:fill="FFFFFF"/>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AB102"/>
    <w:multiLevelType w:val="singleLevel"/>
    <w:tmpl w:val="C27AB102"/>
    <w:lvl w:ilvl="0" w:tentative="0">
      <w:start w:val="2"/>
      <w:numFmt w:val="decimal"/>
      <w:suff w:val="nothing"/>
      <w:lvlText w:val="%1、"/>
      <w:lvlJc w:val="left"/>
    </w:lvl>
  </w:abstractNum>
  <w:abstractNum w:abstractNumId="1">
    <w:nsid w:val="D44C5E0B"/>
    <w:multiLevelType w:val="singleLevel"/>
    <w:tmpl w:val="D44C5E0B"/>
    <w:lvl w:ilvl="0" w:tentative="0">
      <w:start w:val="2"/>
      <w:numFmt w:val="chineseCounting"/>
      <w:suff w:val="nothing"/>
      <w:lvlText w:val="（%1）"/>
      <w:lvlJc w:val="left"/>
      <w:pPr>
        <w:ind w:left="640" w:firstLine="0"/>
      </w:pPr>
      <w:rPr>
        <w:rFonts w:hint="eastAsia"/>
      </w:rPr>
    </w:lvl>
  </w:abstractNum>
  <w:abstractNum w:abstractNumId="2">
    <w:nsid w:val="1037D89B"/>
    <w:multiLevelType w:val="singleLevel"/>
    <w:tmpl w:val="1037D89B"/>
    <w:lvl w:ilvl="0" w:tentative="0">
      <w:start w:val="2"/>
      <w:numFmt w:val="chineseCounting"/>
      <w:suff w:val="nothing"/>
      <w:lvlText w:val="（%1）"/>
      <w:lvlJc w:val="left"/>
      <w:rPr>
        <w:rFonts w:hint="eastAsia"/>
      </w:rPr>
    </w:lvl>
  </w:abstractNum>
  <w:abstractNum w:abstractNumId="3">
    <w:nsid w:val="6DD6DCE7"/>
    <w:multiLevelType w:val="singleLevel"/>
    <w:tmpl w:val="6DD6DCE7"/>
    <w:lvl w:ilvl="0" w:tentative="0">
      <w:start w:val="4"/>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NTgwZWNiNmE4Y2MzZjRmMzk1NGQ2NDg1ZjljMjkifQ=="/>
  </w:docVars>
  <w:rsids>
    <w:rsidRoot w:val="0C876578"/>
    <w:rsid w:val="0C876578"/>
    <w:rsid w:val="184F0B7A"/>
    <w:rsid w:val="34055A81"/>
    <w:rsid w:val="46AC55EA"/>
    <w:rsid w:val="7D8F6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afterLines="0" w:afterAutospacing="0"/>
      <w:ind w:left="420" w:leftChars="200"/>
    </w:pPr>
  </w:style>
  <w:style w:type="paragraph" w:styleId="3">
    <w:name w:val="Normal (Web)"/>
    <w:basedOn w:val="1"/>
    <w:qFormat/>
    <w:uiPriority w:val="0"/>
    <w:pPr>
      <w:spacing w:beforeAutospacing="1" w:afterAutospacing="1"/>
      <w:jc w:val="left"/>
    </w:pPr>
    <w:rPr>
      <w:kern w:val="0"/>
      <w:sz w:val="24"/>
    </w:rPr>
  </w:style>
  <w:style w:type="paragraph" w:styleId="4">
    <w:name w:val="Body Text First Indent 2"/>
    <w:basedOn w:val="2"/>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2023-09-04T06:31:00Z</dcterms:created>
  <dc:creator>Administrator</dc:creator>
  <cp:lastModifiedBy>Administrator</cp:lastModifiedBy>
  <dcterms:modified xsi:type="dcterms:W3CDTF">2023-09-04T10:26:38Z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95D9620695584102B783090F30E69BCE_11</vt:lpwstr>
  </property>
</Properties>
</file>