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beforeAutospacing="0" w:afterAutospacing="0" w:line="480" w:lineRule="atLeast"/>
        <w:jc w:val="both"/>
        <w:rPr>
          <w:rFonts w:ascii="黑体" w:hAnsi="黑体" w:eastAsia="黑体" w:cs="黑体"/>
          <w:color w:val="000000"/>
          <w:sz w:val="32"/>
          <w:szCs w:val="32"/>
        </w:rPr>
      </w:pPr>
    </w:p>
    <w:p>
      <w:pPr>
        <w:pStyle w:val="2"/>
        <w:widowControl/>
        <w:shd w:val="clear" w:color="auto" w:fill="FFFFFF"/>
        <w:spacing w:beforeAutospacing="0" w:afterAutospacing="0" w:line="480" w:lineRule="atLeast"/>
        <w:jc w:val="center"/>
        <w:rPr>
          <w:rFonts w:hint="eastAsia" w:ascii="黑体" w:hAnsi="黑体" w:eastAsia="黑体" w:cs="黑体"/>
          <w:b/>
          <w:color w:val="00000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/>
          <w:color w:val="000000"/>
          <w:sz w:val="32"/>
          <w:szCs w:val="32"/>
          <w:shd w:val="clear" w:color="auto" w:fill="FFFFFF"/>
        </w:rPr>
        <w:t>绥宁县</w:t>
      </w:r>
      <w:r>
        <w:rPr>
          <w:rFonts w:hint="eastAsia" w:ascii="黑体" w:hAnsi="黑体" w:eastAsia="黑体" w:cs="黑体"/>
          <w:b/>
          <w:sz w:val="32"/>
          <w:szCs w:val="32"/>
        </w:rPr>
        <w:t>青少年学生校外活动中心</w:t>
      </w:r>
      <w:r>
        <w:rPr>
          <w:rFonts w:hint="eastAsia" w:ascii="黑体" w:hAnsi="黑体" w:eastAsia="黑体" w:cs="黑体"/>
          <w:b/>
          <w:color w:val="000000"/>
          <w:sz w:val="32"/>
          <w:szCs w:val="32"/>
          <w:shd w:val="clear" w:color="auto" w:fill="FFFFFF"/>
        </w:rPr>
        <w:t>2022年度</w:t>
      </w:r>
    </w:p>
    <w:p>
      <w:pPr>
        <w:pStyle w:val="2"/>
        <w:widowControl/>
        <w:shd w:val="clear" w:color="auto" w:fill="FFFFFF"/>
        <w:spacing w:beforeAutospacing="0" w:afterAutospacing="0" w:line="480" w:lineRule="atLeast"/>
        <w:jc w:val="center"/>
        <w:rPr>
          <w:rFonts w:ascii="楷体" w:hAnsi="楷体" w:eastAsia="楷体" w:cs="楷体"/>
          <w:b/>
          <w:color w:val="00000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/>
          <w:color w:val="000000"/>
          <w:sz w:val="32"/>
          <w:szCs w:val="32"/>
          <w:shd w:val="clear" w:color="auto" w:fill="FFFFFF"/>
        </w:rPr>
        <w:t>部门整体支出绩效自评报告</w:t>
      </w:r>
    </w:p>
    <w:p>
      <w:pPr>
        <w:widowControl/>
        <w:ind w:firstLine="640" w:firstLineChars="200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</w:p>
    <w:p>
      <w:pPr>
        <w:widowControl/>
        <w:ind w:firstLine="640" w:firstLineChars="20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为进一步规范和加强预算资金管理，提高财政资金使用绩效，根据县财政局《关于开展2022年度财政支出绩效自评工作的通知》（绥财绩〔2023〕1号）相关要求，我部门对部门整体支出情况实施了绩效自评，现将自评情况报告如下：</w:t>
      </w:r>
    </w:p>
    <w:p>
      <w:pPr>
        <w:pStyle w:val="2"/>
        <w:widowControl/>
        <w:shd w:val="clear" w:color="auto" w:fill="FFFFFF"/>
        <w:spacing w:beforeAutospacing="0" w:afterAutospacing="0" w:line="480" w:lineRule="atLeast"/>
        <w:ind w:left="640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</w:rPr>
        <w:t>一、部门基本情况</w:t>
      </w:r>
    </w:p>
    <w:p>
      <w:pPr>
        <w:pStyle w:val="2"/>
        <w:widowControl/>
        <w:shd w:val="clear" w:color="auto" w:fill="FFFFFF"/>
        <w:spacing w:beforeAutospacing="0" w:afterAutospacing="0" w:line="480" w:lineRule="atLeast"/>
        <w:ind w:left="640"/>
        <w:rPr>
          <w:rFonts w:ascii="楷体" w:hAnsi="楷体" w:eastAsia="楷体" w:cs="楷体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hint="eastAsia" w:ascii="楷体" w:hAnsi="楷体" w:eastAsia="楷体" w:cs="楷体"/>
          <w:b/>
          <w:bCs/>
          <w:color w:val="000000"/>
          <w:sz w:val="32"/>
          <w:szCs w:val="32"/>
          <w:shd w:val="clear" w:color="auto" w:fill="FFFFFF"/>
        </w:rPr>
        <w:t>（一）部门职能职责</w:t>
      </w:r>
    </w:p>
    <w:p>
      <w:pPr>
        <w:pStyle w:val="2"/>
        <w:widowControl/>
        <w:shd w:val="clear" w:color="auto" w:fill="FFFFFF"/>
        <w:spacing w:beforeAutospacing="0" w:afterAutospacing="0" w:line="480" w:lineRule="atLeast"/>
        <w:ind w:left="640"/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1.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绥宁县青少年学生校外活动中心，是中小学生校外文化艺术、科技知识、基本技能的培训、指导和活动平台，是培养广大青少年公民意识、道德意识、法律意识和科学意识的重要阵地，配合各级教育行政部门、科研部门及各级各类乡村学校少年宫，推动基础教育的改革与发展，全面推进素质教育，致力于课外、校外教育活动的组织与实施，研究课外、校外社会实践活动、社会公益活动的意义、组织形式及实施方法。</w:t>
      </w:r>
    </w:p>
    <w:p>
      <w:pPr>
        <w:pStyle w:val="2"/>
        <w:widowControl/>
        <w:shd w:val="clear" w:color="auto" w:fill="FFFFFF"/>
        <w:spacing w:beforeAutospacing="0" w:afterAutospacing="0" w:line="480" w:lineRule="atLeast"/>
        <w:ind w:left="64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2.</w:t>
      </w:r>
      <w:r>
        <w:rPr>
          <w:rFonts w:hint="eastAsia" w:ascii="仿宋" w:hAnsi="仿宋" w:eastAsia="仿宋" w:cs="仿宋"/>
          <w:spacing w:val="5"/>
          <w:sz w:val="32"/>
          <w:szCs w:val="32"/>
          <w:lang w:eastAsia="zh-CN"/>
        </w:rPr>
        <w:t>提供各种服务和资源，以满足青少年的需求。这些服务和资源包括图书室、电脑室、音乐室、美术室等，可以为青少年提供学习、娱乐等方面的支持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。</w:t>
      </w:r>
    </w:p>
    <w:p>
      <w:pPr>
        <w:pStyle w:val="2"/>
        <w:widowControl/>
        <w:shd w:val="clear" w:color="auto" w:fill="FFFFFF"/>
        <w:spacing w:beforeAutospacing="0" w:afterAutospacing="0" w:line="480" w:lineRule="atLeast"/>
        <w:ind w:left="640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3、青少年活动中心定期组织各种文体比赛、艺术展演、科技活动，让青少年具有真实参与感，提升自身素质，更好地快乐成长。</w:t>
      </w:r>
    </w:p>
    <w:p>
      <w:pPr>
        <w:pStyle w:val="2"/>
        <w:widowControl/>
        <w:shd w:val="clear" w:color="auto" w:fill="FFFFFF"/>
        <w:spacing w:beforeAutospacing="0" w:afterAutospacing="0" w:line="480" w:lineRule="atLeast"/>
        <w:ind w:left="640"/>
        <w:rPr>
          <w:rFonts w:ascii="楷体" w:hAnsi="楷体" w:eastAsia="楷体" w:cs="楷体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hint="eastAsia" w:ascii="楷体" w:hAnsi="楷体" w:eastAsia="楷体" w:cs="楷体"/>
          <w:b/>
          <w:bCs/>
          <w:color w:val="000000"/>
          <w:sz w:val="32"/>
          <w:szCs w:val="32"/>
          <w:shd w:val="clear" w:color="auto" w:fill="FFFFFF"/>
        </w:rPr>
        <w:t>（二）机构设置情况</w:t>
      </w:r>
    </w:p>
    <w:p>
      <w:pPr>
        <w:pStyle w:val="2"/>
        <w:widowControl/>
        <w:shd w:val="clear" w:color="auto" w:fill="FFFFFF"/>
        <w:spacing w:beforeAutospacing="0" w:afterAutospacing="0" w:line="480" w:lineRule="atLeast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2022年末，我部门内设股室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eastAsia="zh-CN"/>
        </w:rPr>
        <w:t>三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个，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eastAsia="zh-CN"/>
        </w:rPr>
        <w:t>无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所属事业单位。</w:t>
      </w:r>
    </w:p>
    <w:p>
      <w:pPr>
        <w:pStyle w:val="2"/>
        <w:widowControl/>
        <w:shd w:val="clear" w:color="auto" w:fill="FFFFFF"/>
        <w:spacing w:beforeAutospacing="0" w:afterAutospacing="0" w:line="480" w:lineRule="atLeast"/>
        <w:ind w:left="640"/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内设股室分别是：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内设机构分别是主任室、办公室、财务室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。</w:t>
      </w:r>
    </w:p>
    <w:p>
      <w:pPr>
        <w:pStyle w:val="2"/>
        <w:shd w:val="clear" w:color="auto" w:fill="FFFFFF"/>
        <w:spacing w:beforeAutospacing="0" w:afterAutospacing="0" w:line="480" w:lineRule="atLeast"/>
        <w:ind w:left="641"/>
        <w:rPr>
          <w:rFonts w:ascii="楷体" w:hAnsi="楷体" w:eastAsia="楷体" w:cs="楷体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hint="eastAsia" w:ascii="楷体" w:hAnsi="楷体" w:eastAsia="楷体" w:cs="楷体"/>
          <w:b/>
          <w:bCs/>
          <w:color w:val="000000"/>
          <w:sz w:val="32"/>
          <w:szCs w:val="32"/>
          <w:shd w:val="clear" w:color="auto" w:fill="FFFFFF"/>
        </w:rPr>
        <w:t>（三）人员编制情况</w:t>
      </w:r>
    </w:p>
    <w:p>
      <w:pPr>
        <w:pStyle w:val="2"/>
        <w:shd w:val="clear" w:color="auto" w:fill="FFFFFF"/>
        <w:spacing w:beforeAutospacing="0" w:afterAutospacing="0" w:line="480" w:lineRule="atLeast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2022年末，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根据编委核定，</w:t>
      </w:r>
      <w:r>
        <w:rPr>
          <w:rFonts w:hint="eastAsia" w:ascii="仿宋" w:hAnsi="仿宋" w:eastAsia="仿宋" w:cs="仿宋"/>
          <w:spacing w:val="5"/>
          <w:w w:val="95"/>
          <w:sz w:val="32"/>
          <w:szCs w:val="32"/>
          <w:lang w:eastAsia="zh-CN"/>
        </w:rPr>
        <w:t>绥宁县青少年学生校外活动中心全额拨款事业单位，编制4人，在职教工</w:t>
      </w:r>
      <w:r>
        <w:rPr>
          <w:rFonts w:hint="eastAsia" w:ascii="仿宋" w:hAnsi="仿宋" w:eastAsia="仿宋" w:cs="仿宋"/>
          <w:spacing w:val="5"/>
          <w:w w:val="95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spacing w:val="5"/>
          <w:w w:val="95"/>
          <w:sz w:val="32"/>
          <w:szCs w:val="32"/>
          <w:lang w:eastAsia="zh-CN"/>
        </w:rPr>
        <w:t>人，</w:t>
      </w:r>
      <w:r>
        <w:rPr>
          <w:rFonts w:hint="eastAsia" w:ascii="仿宋" w:hAnsi="仿宋" w:eastAsia="仿宋" w:cs="仿宋"/>
          <w:color w:val="000000"/>
          <w:spacing w:val="5"/>
          <w:w w:val="95"/>
          <w:sz w:val="32"/>
          <w:szCs w:val="32"/>
          <w:lang w:eastAsia="zh-CN"/>
        </w:rPr>
        <w:t>退休</w:t>
      </w:r>
      <w:r>
        <w:rPr>
          <w:rFonts w:hint="eastAsia" w:ascii="仿宋" w:hAnsi="仿宋" w:eastAsia="仿宋" w:cs="仿宋"/>
          <w:color w:val="000000"/>
          <w:spacing w:val="5"/>
          <w:w w:val="95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color w:val="000000"/>
          <w:spacing w:val="5"/>
          <w:w w:val="95"/>
          <w:sz w:val="32"/>
          <w:szCs w:val="32"/>
          <w:lang w:eastAsia="zh-CN"/>
        </w:rPr>
        <w:t>人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，离休人员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  <w:t>0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人。</w:t>
      </w:r>
    </w:p>
    <w:p>
      <w:pPr>
        <w:pStyle w:val="2"/>
        <w:widowControl/>
        <w:shd w:val="clear" w:color="auto" w:fill="FFFFFF"/>
        <w:spacing w:beforeAutospacing="0" w:afterAutospacing="0" w:line="480" w:lineRule="atLeast"/>
        <w:ind w:left="640"/>
        <w:rPr>
          <w:rFonts w:ascii="黑体" w:hAnsi="黑体" w:eastAsia="黑体" w:cs="黑体"/>
          <w:color w:val="00000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</w:rPr>
        <w:t>二、一般公共预算支出情况</w:t>
      </w:r>
    </w:p>
    <w:p>
      <w:pPr>
        <w:pStyle w:val="2"/>
        <w:widowControl/>
        <w:shd w:val="clear" w:color="auto" w:fill="FFFFFF"/>
        <w:spacing w:beforeAutospacing="0" w:afterAutospacing="0" w:line="480" w:lineRule="atLeast"/>
        <w:ind w:left="640"/>
        <w:rPr>
          <w:rFonts w:ascii="楷体" w:hAnsi="楷体" w:eastAsia="楷体" w:cs="楷体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hint="eastAsia" w:ascii="楷体" w:hAnsi="楷体" w:eastAsia="楷体" w:cs="楷体"/>
          <w:b/>
          <w:bCs/>
          <w:color w:val="000000"/>
          <w:sz w:val="32"/>
          <w:szCs w:val="32"/>
          <w:shd w:val="clear" w:color="auto" w:fill="FFFFFF"/>
        </w:rPr>
        <w:t>（一）基本支出情况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napToGrid w:val="0"/>
        <w:spacing w:line="586" w:lineRule="exact"/>
        <w:ind w:firstLine="640" w:firstLineChars="200"/>
        <w:rPr>
          <w:rFonts w:eastAsia="仿宋_GB2312"/>
          <w:color w:val="0C0C0C"/>
          <w:sz w:val="32"/>
          <w:szCs w:val="32"/>
        </w:rPr>
      </w:pPr>
      <w:r>
        <w:rPr>
          <w:rFonts w:eastAsia="仿宋_GB2312"/>
          <w:color w:val="0C0C0C"/>
          <w:sz w:val="32"/>
          <w:szCs w:val="32"/>
        </w:rPr>
        <w:t>202</w:t>
      </w:r>
      <w:r>
        <w:rPr>
          <w:rFonts w:hint="eastAsia" w:eastAsia="仿宋_GB2312"/>
          <w:color w:val="0C0C0C"/>
          <w:sz w:val="32"/>
          <w:szCs w:val="32"/>
        </w:rPr>
        <w:t>2</w:t>
      </w:r>
      <w:r>
        <w:rPr>
          <w:rFonts w:eastAsia="仿宋_GB2312"/>
          <w:color w:val="0C0C0C"/>
          <w:sz w:val="32"/>
          <w:szCs w:val="32"/>
        </w:rPr>
        <w:t>年基本支出共计</w:t>
      </w:r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val="en-US" w:eastAsia="zh-CN"/>
        </w:rPr>
        <w:t>113.86</w:t>
      </w:r>
      <w:r>
        <w:rPr>
          <w:rFonts w:eastAsia="仿宋_GB2312"/>
          <w:color w:val="0C0C0C"/>
          <w:sz w:val="32"/>
          <w:szCs w:val="32"/>
        </w:rPr>
        <w:t>万元</w:t>
      </w:r>
      <w:r>
        <w:rPr>
          <w:rFonts w:hint="eastAsia" w:eastAsia="仿宋_GB2312"/>
          <w:color w:val="0C0C0C"/>
          <w:sz w:val="32"/>
          <w:szCs w:val="32"/>
        </w:rPr>
        <w:t>，其中</w:t>
      </w:r>
      <w:r>
        <w:rPr>
          <w:rFonts w:eastAsia="仿宋_GB2312"/>
          <w:color w:val="0C0C0C"/>
          <w:sz w:val="32"/>
          <w:szCs w:val="32"/>
        </w:rPr>
        <w:t>人员经费</w:t>
      </w:r>
      <w:r>
        <w:rPr>
          <w:rFonts w:hint="eastAsia" w:eastAsia="仿宋_GB2312"/>
          <w:color w:val="0C0C0C"/>
          <w:sz w:val="32"/>
          <w:szCs w:val="32"/>
          <w:lang w:val="en-US" w:eastAsia="zh-CN"/>
        </w:rPr>
        <w:t>96.12</w:t>
      </w:r>
      <w:r>
        <w:rPr>
          <w:rFonts w:eastAsia="仿宋_GB2312"/>
          <w:color w:val="0C0C0C"/>
          <w:sz w:val="32"/>
          <w:szCs w:val="32"/>
        </w:rPr>
        <w:t>万元</w:t>
      </w:r>
      <w:r>
        <w:rPr>
          <w:rFonts w:hint="eastAsia" w:eastAsia="仿宋_GB2312"/>
          <w:color w:val="0C0C0C"/>
          <w:sz w:val="32"/>
          <w:szCs w:val="32"/>
        </w:rPr>
        <w:t>，</w:t>
      </w:r>
      <w:r>
        <w:rPr>
          <w:rFonts w:hint="eastAsia" w:eastAsia="仿宋_GB2312"/>
          <w:color w:val="0C0C0C"/>
          <w:sz w:val="32"/>
          <w:szCs w:val="32"/>
          <w:lang w:eastAsia="zh-CN"/>
        </w:rPr>
        <w:t>公用</w:t>
      </w:r>
      <w:r>
        <w:rPr>
          <w:rFonts w:eastAsia="仿宋_GB2312"/>
          <w:color w:val="0C0C0C"/>
          <w:sz w:val="32"/>
          <w:szCs w:val="32"/>
        </w:rPr>
        <w:t>经费</w:t>
      </w:r>
      <w:r>
        <w:rPr>
          <w:rFonts w:hint="eastAsia" w:eastAsia="仿宋_GB2312"/>
          <w:color w:val="0C0C0C"/>
          <w:sz w:val="32"/>
          <w:szCs w:val="32"/>
          <w:lang w:val="en-US" w:eastAsia="zh-CN"/>
        </w:rPr>
        <w:t>17.74</w:t>
      </w:r>
      <w:r>
        <w:rPr>
          <w:rFonts w:eastAsia="仿宋_GB2312"/>
          <w:color w:val="0C0C0C"/>
          <w:sz w:val="32"/>
          <w:szCs w:val="32"/>
        </w:rPr>
        <w:t>万元</w:t>
      </w:r>
      <w:r>
        <w:rPr>
          <w:rFonts w:hint="eastAsia" w:eastAsia="仿宋_GB2312"/>
          <w:color w:val="0C0C0C"/>
          <w:sz w:val="32"/>
          <w:szCs w:val="32"/>
        </w:rPr>
        <w:t>。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napToGrid w:val="0"/>
        <w:spacing w:line="586" w:lineRule="exact"/>
        <w:ind w:firstLine="643" w:firstLineChars="200"/>
        <w:rPr>
          <w:rFonts w:eastAsia="仿宋_GB2312"/>
          <w:color w:val="0C0C0C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C0C0C"/>
          <w:sz w:val="32"/>
          <w:szCs w:val="32"/>
        </w:rPr>
        <w:t>1.人员经费</w:t>
      </w:r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val="en-US" w:eastAsia="zh-CN"/>
        </w:rPr>
        <w:t>96.12</w:t>
      </w:r>
      <w:r>
        <w:rPr>
          <w:rFonts w:hint="eastAsia" w:ascii="仿宋" w:hAnsi="仿宋" w:eastAsia="仿宋" w:cs="仿宋"/>
          <w:b/>
          <w:bCs/>
          <w:color w:val="0C0C0C"/>
          <w:sz w:val="32"/>
          <w:szCs w:val="32"/>
        </w:rPr>
        <w:t>万元。</w:t>
      </w:r>
      <w:r>
        <w:rPr>
          <w:rFonts w:eastAsia="仿宋_GB2312"/>
          <w:color w:val="0C0C0C"/>
          <w:sz w:val="32"/>
          <w:szCs w:val="32"/>
        </w:rPr>
        <w:t>主要用于在职人员工资津补贴、奖金、离休费、社保缴费、住房公积金缴费、老干医疗费、抚恤金等。人员经费支出严格按照相关政策和标准列支。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napToGrid w:val="0"/>
        <w:spacing w:line="586" w:lineRule="exact"/>
        <w:ind w:firstLine="643" w:firstLineChars="200"/>
        <w:rPr>
          <w:rFonts w:eastAsia="仿宋_GB2312"/>
          <w:color w:val="0C0C0C"/>
          <w:sz w:val="32"/>
          <w:szCs w:val="32"/>
        </w:rPr>
      </w:pPr>
      <w:r>
        <w:rPr>
          <w:rFonts w:ascii="仿宋" w:hAnsi="仿宋" w:eastAsia="仿宋" w:cs="仿宋"/>
          <w:b/>
          <w:bCs/>
          <w:color w:val="0C0C0C"/>
          <w:sz w:val="32"/>
          <w:szCs w:val="32"/>
        </w:rPr>
        <w:t>2</w:t>
      </w:r>
      <w:r>
        <w:rPr>
          <w:rFonts w:hint="eastAsia" w:ascii="仿宋" w:hAnsi="仿宋" w:eastAsia="仿宋" w:cs="仿宋"/>
          <w:b/>
          <w:bCs/>
          <w:color w:val="0C0C0C"/>
          <w:sz w:val="32"/>
          <w:szCs w:val="32"/>
        </w:rPr>
        <w:t>.</w:t>
      </w:r>
      <w:r>
        <w:rPr>
          <w:rFonts w:ascii="仿宋" w:hAnsi="仿宋" w:eastAsia="仿宋" w:cs="仿宋"/>
          <w:b/>
          <w:bCs/>
          <w:color w:val="0C0C0C"/>
          <w:sz w:val="32"/>
          <w:szCs w:val="32"/>
        </w:rPr>
        <w:t>公用经费</w:t>
      </w:r>
      <w:r>
        <w:rPr>
          <w:rFonts w:hint="eastAsia" w:eastAsia="仿宋_GB2312"/>
          <w:color w:val="0C0C0C"/>
          <w:sz w:val="32"/>
          <w:szCs w:val="32"/>
          <w:lang w:val="en-US" w:eastAsia="zh-CN"/>
        </w:rPr>
        <w:t>17.74</w:t>
      </w:r>
      <w:r>
        <w:rPr>
          <w:rFonts w:ascii="仿宋" w:hAnsi="仿宋" w:eastAsia="仿宋" w:cs="仿宋"/>
          <w:b/>
          <w:bCs/>
          <w:color w:val="0C0C0C"/>
          <w:sz w:val="32"/>
          <w:szCs w:val="32"/>
        </w:rPr>
        <w:t>万元。</w:t>
      </w:r>
      <w:r>
        <w:rPr>
          <w:rFonts w:eastAsia="仿宋_GB2312"/>
          <w:color w:val="0C0C0C"/>
          <w:sz w:val="32"/>
          <w:szCs w:val="32"/>
        </w:rPr>
        <w:t>主要用于为保障基本运行而发生的办公费、印刷费、邮电费、水费、电费、物业管理费、取暖费、维修费、差旅费等。公用经费支出严格执行部门预算，厉行节约，控制运行成本。</w:t>
      </w:r>
    </w:p>
    <w:p>
      <w:pPr>
        <w:pStyle w:val="2"/>
        <w:widowControl/>
        <w:shd w:val="clear" w:color="auto" w:fill="FFFFFF"/>
        <w:spacing w:beforeAutospacing="0" w:afterAutospacing="0" w:line="480" w:lineRule="atLeast"/>
        <w:ind w:left="640"/>
        <w:jc w:val="both"/>
        <w:rPr>
          <w:rFonts w:ascii="楷体" w:hAnsi="楷体" w:eastAsia="楷体" w:cs="楷体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hint="eastAsia" w:ascii="楷体" w:hAnsi="楷体" w:eastAsia="楷体" w:cs="楷体"/>
          <w:b/>
          <w:bCs/>
          <w:color w:val="000000"/>
          <w:sz w:val="32"/>
          <w:szCs w:val="32"/>
          <w:shd w:val="clear" w:color="auto" w:fill="FFFFFF"/>
        </w:rPr>
        <w:t>（二）项目支出情况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napToGrid w:val="0"/>
        <w:spacing w:line="586" w:lineRule="exact"/>
        <w:ind w:firstLine="640" w:firstLineChars="200"/>
        <w:rPr>
          <w:rFonts w:ascii="仿宋" w:hAnsi="仿宋" w:eastAsia="仿宋" w:cs="仿宋"/>
          <w:color w:val="0C0C0C"/>
          <w:sz w:val="32"/>
          <w:szCs w:val="32"/>
        </w:rPr>
      </w:pPr>
      <w:r>
        <w:rPr>
          <w:rFonts w:hint="eastAsia" w:ascii="仿宋" w:hAnsi="仿宋" w:eastAsia="仿宋" w:cs="仿宋"/>
          <w:color w:val="0C0C0C"/>
          <w:sz w:val="32"/>
          <w:szCs w:val="32"/>
        </w:rPr>
        <w:t>2022年项目支出共计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color w:val="0C0C0C"/>
          <w:sz w:val="32"/>
          <w:szCs w:val="32"/>
        </w:rPr>
        <w:t>万元，其中业务工作经费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color w:val="0C0C0C"/>
          <w:sz w:val="32"/>
          <w:szCs w:val="32"/>
        </w:rPr>
        <w:t>万元，运行维护经费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color w:val="0C0C0C"/>
          <w:sz w:val="32"/>
          <w:szCs w:val="32"/>
        </w:rPr>
        <w:t>万元，专项资金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color w:val="0C0C0C"/>
          <w:sz w:val="32"/>
          <w:szCs w:val="32"/>
        </w:rPr>
        <w:t>万元。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napToGrid w:val="0"/>
        <w:spacing w:line="586" w:lineRule="exact"/>
        <w:ind w:firstLine="640" w:firstLineChars="200"/>
        <w:rPr>
          <w:rFonts w:hint="eastAsia" w:ascii="仿宋" w:hAnsi="仿宋" w:eastAsia="仿宋" w:cs="仿宋"/>
          <w:b w:val="0"/>
          <w:bCs w:val="0"/>
          <w:color w:val="0C0C0C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0C0C0C"/>
          <w:sz w:val="32"/>
          <w:szCs w:val="32"/>
        </w:rPr>
        <w:t>1.业务工作经费</w:t>
      </w:r>
      <w:r>
        <w:rPr>
          <w:rFonts w:hint="eastAsia" w:ascii="仿宋" w:hAnsi="仿宋" w:eastAsia="仿宋" w:cs="仿宋"/>
          <w:b w:val="0"/>
          <w:bCs w:val="0"/>
          <w:color w:val="0C0C0C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b w:val="0"/>
          <w:bCs w:val="0"/>
          <w:color w:val="0C0C0C"/>
          <w:sz w:val="32"/>
          <w:szCs w:val="32"/>
        </w:rPr>
        <w:t>万元。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napToGrid w:val="0"/>
        <w:spacing w:line="586" w:lineRule="exact"/>
        <w:ind w:firstLine="640" w:firstLineChars="200"/>
        <w:rPr>
          <w:rFonts w:hint="eastAsia" w:ascii="仿宋" w:hAnsi="仿宋" w:eastAsia="仿宋" w:cs="仿宋"/>
          <w:b w:val="0"/>
          <w:bCs w:val="0"/>
          <w:color w:val="0C0C0C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0C0C0C"/>
          <w:sz w:val="32"/>
          <w:szCs w:val="32"/>
        </w:rPr>
        <w:t>2.运行维护经费</w:t>
      </w:r>
      <w:r>
        <w:rPr>
          <w:rFonts w:hint="eastAsia" w:ascii="仿宋" w:hAnsi="仿宋" w:eastAsia="仿宋" w:cs="仿宋"/>
          <w:b w:val="0"/>
          <w:bCs w:val="0"/>
          <w:color w:val="0C0C0C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b w:val="0"/>
          <w:bCs w:val="0"/>
          <w:color w:val="0C0C0C"/>
          <w:sz w:val="32"/>
          <w:szCs w:val="32"/>
        </w:rPr>
        <w:t>万元。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napToGrid w:val="0"/>
        <w:spacing w:line="586" w:lineRule="exact"/>
        <w:ind w:firstLine="640" w:firstLineChars="200"/>
        <w:rPr>
          <w:rFonts w:ascii="仿宋" w:hAnsi="仿宋" w:eastAsia="仿宋" w:cs="仿宋"/>
          <w:color w:val="0C0C0C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0C0C0C"/>
          <w:sz w:val="32"/>
          <w:szCs w:val="32"/>
        </w:rPr>
        <w:t>3.上级专项资金</w:t>
      </w:r>
      <w:r>
        <w:rPr>
          <w:rFonts w:hint="eastAsia" w:ascii="仿宋" w:hAnsi="仿宋" w:eastAsia="仿宋" w:cs="仿宋"/>
          <w:b w:val="0"/>
          <w:bCs w:val="0"/>
          <w:color w:val="0C0C0C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b w:val="0"/>
          <w:bCs w:val="0"/>
          <w:color w:val="0C0C0C"/>
          <w:sz w:val="32"/>
          <w:szCs w:val="32"/>
        </w:rPr>
        <w:t>万元。</w:t>
      </w:r>
    </w:p>
    <w:p>
      <w:pPr>
        <w:pStyle w:val="2"/>
        <w:widowControl/>
        <w:shd w:val="clear" w:color="auto" w:fill="FFFFFF"/>
        <w:spacing w:beforeAutospacing="0" w:afterAutospacing="0" w:line="480" w:lineRule="atLeast"/>
        <w:ind w:left="640"/>
        <w:rPr>
          <w:rFonts w:ascii="黑体" w:hAnsi="黑体" w:eastAsia="黑体" w:cs="黑体"/>
          <w:color w:val="00000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</w:rPr>
        <w:t>三、政府性基金预算支出情况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napToGrid w:val="0"/>
        <w:spacing w:line="586" w:lineRule="exact"/>
        <w:ind w:firstLine="640" w:firstLineChars="200"/>
        <w:rPr>
          <w:rFonts w:ascii="黑体" w:hAnsi="黑体" w:eastAsia="黑体" w:cs="黑体"/>
          <w:color w:val="000000"/>
          <w:sz w:val="32"/>
          <w:szCs w:val="32"/>
          <w:shd w:val="clear" w:color="auto" w:fill="FFFFFF"/>
        </w:rPr>
      </w:pPr>
      <w:r>
        <w:rPr>
          <w:rFonts w:ascii="仿宋" w:hAnsi="仿宋" w:eastAsia="仿宋" w:cs="仿宋"/>
          <w:b w:val="0"/>
          <w:bCs w:val="0"/>
          <w:color w:val="0C0C0C"/>
          <w:sz w:val="32"/>
          <w:szCs w:val="32"/>
        </w:rPr>
        <w:t>202</w:t>
      </w:r>
      <w:r>
        <w:rPr>
          <w:rFonts w:hint="eastAsia" w:ascii="仿宋" w:hAnsi="仿宋" w:eastAsia="仿宋" w:cs="仿宋"/>
          <w:b w:val="0"/>
          <w:bCs w:val="0"/>
          <w:color w:val="0C0C0C"/>
          <w:sz w:val="32"/>
          <w:szCs w:val="32"/>
        </w:rPr>
        <w:t>2年度</w:t>
      </w:r>
      <w:r>
        <w:rPr>
          <w:rFonts w:hint="eastAsia" w:ascii="仿宋" w:hAnsi="仿宋" w:eastAsia="仿宋" w:cs="仿宋"/>
          <w:b w:val="0"/>
          <w:bCs w:val="0"/>
          <w:color w:val="FF0000"/>
          <w:sz w:val="32"/>
          <w:szCs w:val="32"/>
        </w:rPr>
        <w:t>无</w:t>
      </w:r>
      <w:r>
        <w:rPr>
          <w:rFonts w:hint="eastAsia" w:ascii="仿宋" w:hAnsi="仿宋" w:eastAsia="仿宋" w:cs="仿宋"/>
          <w:b w:val="0"/>
          <w:bCs w:val="0"/>
          <w:color w:val="0C0C0C"/>
          <w:sz w:val="32"/>
          <w:szCs w:val="32"/>
        </w:rPr>
        <w:t>政府性基金预算支出。</w:t>
      </w:r>
    </w:p>
    <w:p>
      <w:pPr>
        <w:pStyle w:val="2"/>
        <w:widowControl/>
        <w:numPr>
          <w:ilvl w:val="0"/>
          <w:numId w:val="1"/>
        </w:numPr>
        <w:shd w:val="clear" w:color="auto" w:fill="FFFFFF"/>
        <w:spacing w:beforeAutospacing="0" w:afterAutospacing="0" w:line="480" w:lineRule="atLeast"/>
        <w:ind w:left="640"/>
        <w:rPr>
          <w:rFonts w:ascii="黑体" w:hAnsi="黑体" w:eastAsia="黑体" w:cs="黑体"/>
          <w:color w:val="00000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</w:rPr>
        <w:t>国有资本经营预算支出情况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napToGrid w:val="0"/>
        <w:spacing w:line="586" w:lineRule="exact"/>
        <w:ind w:firstLine="640" w:firstLineChars="200"/>
        <w:rPr>
          <w:rFonts w:ascii="仿宋" w:hAnsi="仿宋" w:eastAsia="仿宋" w:cs="仿宋"/>
          <w:color w:val="0C0C0C"/>
          <w:sz w:val="32"/>
          <w:szCs w:val="32"/>
        </w:rPr>
      </w:pPr>
      <w:r>
        <w:rPr>
          <w:rFonts w:ascii="仿宋" w:hAnsi="仿宋" w:eastAsia="仿宋" w:cs="仿宋"/>
          <w:color w:val="0C0C0C"/>
          <w:sz w:val="32"/>
          <w:szCs w:val="32"/>
        </w:rPr>
        <w:t>202</w:t>
      </w:r>
      <w:r>
        <w:rPr>
          <w:rFonts w:hint="eastAsia" w:ascii="仿宋" w:hAnsi="仿宋" w:eastAsia="仿宋" w:cs="仿宋"/>
          <w:color w:val="0C0C0C"/>
          <w:sz w:val="32"/>
          <w:szCs w:val="32"/>
        </w:rPr>
        <w:t>2</w:t>
      </w:r>
      <w:r>
        <w:rPr>
          <w:rFonts w:ascii="仿宋" w:hAnsi="仿宋" w:eastAsia="仿宋" w:cs="仿宋"/>
          <w:color w:val="0C0C0C"/>
          <w:sz w:val="32"/>
          <w:szCs w:val="32"/>
        </w:rPr>
        <w:t>年度</w:t>
      </w:r>
      <w:r>
        <w:rPr>
          <w:rFonts w:ascii="仿宋" w:hAnsi="仿宋" w:eastAsia="仿宋" w:cs="仿宋"/>
          <w:color w:val="FF0000"/>
          <w:sz w:val="32"/>
          <w:szCs w:val="32"/>
        </w:rPr>
        <w:t>无</w:t>
      </w:r>
      <w:r>
        <w:rPr>
          <w:rFonts w:ascii="仿宋" w:hAnsi="仿宋" w:eastAsia="仿宋" w:cs="仿宋"/>
          <w:color w:val="0C0C0C"/>
          <w:sz w:val="32"/>
          <w:szCs w:val="32"/>
        </w:rPr>
        <w:t>国有资本经营预算支出。</w:t>
      </w:r>
    </w:p>
    <w:p>
      <w:pPr>
        <w:pStyle w:val="2"/>
        <w:widowControl/>
        <w:numPr>
          <w:ilvl w:val="0"/>
          <w:numId w:val="1"/>
        </w:numPr>
        <w:shd w:val="clear" w:color="auto" w:fill="FFFFFF"/>
        <w:spacing w:beforeAutospacing="0" w:afterAutospacing="0" w:line="480" w:lineRule="atLeast"/>
        <w:ind w:left="640"/>
        <w:rPr>
          <w:rFonts w:ascii="黑体" w:hAnsi="黑体" w:eastAsia="黑体" w:cs="黑体"/>
          <w:color w:val="00000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</w:rPr>
        <w:t>社会保险基金预算支出情况</w:t>
      </w:r>
    </w:p>
    <w:p>
      <w:pPr>
        <w:widowControl/>
        <w:ind w:firstLine="640" w:firstLineChars="200"/>
        <w:jc w:val="left"/>
        <w:rPr>
          <w:rFonts w:ascii="黑体" w:hAnsi="黑体" w:eastAsia="黑体" w:cs="黑体"/>
          <w:color w:val="000000"/>
          <w:sz w:val="32"/>
          <w:szCs w:val="32"/>
          <w:shd w:val="clear" w:color="auto" w:fill="FFFFFF"/>
        </w:rPr>
      </w:pPr>
      <w:r>
        <w:rPr>
          <w:rFonts w:ascii="仿宋" w:hAnsi="仿宋" w:eastAsia="仿宋" w:cs="仿宋"/>
          <w:color w:val="0C0C0C"/>
          <w:sz w:val="32"/>
          <w:szCs w:val="32"/>
        </w:rPr>
        <w:t>202</w:t>
      </w:r>
      <w:r>
        <w:rPr>
          <w:rFonts w:hint="eastAsia" w:ascii="仿宋" w:hAnsi="仿宋" w:eastAsia="仿宋" w:cs="仿宋"/>
          <w:color w:val="0C0C0C"/>
          <w:sz w:val="32"/>
          <w:szCs w:val="32"/>
        </w:rPr>
        <w:t>2</w:t>
      </w:r>
      <w:r>
        <w:rPr>
          <w:rFonts w:ascii="仿宋" w:hAnsi="仿宋" w:eastAsia="仿宋" w:cs="仿宋"/>
          <w:color w:val="0C0C0C"/>
          <w:sz w:val="32"/>
          <w:szCs w:val="32"/>
        </w:rPr>
        <w:t>年度</w:t>
      </w:r>
      <w:r>
        <w:rPr>
          <w:rFonts w:ascii="仿宋" w:hAnsi="仿宋" w:eastAsia="仿宋" w:cs="仿宋"/>
          <w:color w:val="FF0000"/>
          <w:sz w:val="32"/>
          <w:szCs w:val="32"/>
        </w:rPr>
        <w:t>无</w:t>
      </w:r>
      <w:r>
        <w:rPr>
          <w:rFonts w:ascii="仿宋" w:hAnsi="仿宋" w:eastAsia="仿宋" w:cs="仿宋"/>
          <w:color w:val="0C0C0C"/>
          <w:sz w:val="32"/>
          <w:szCs w:val="32"/>
        </w:rPr>
        <w:t>社会保险基金预算支出。</w:t>
      </w:r>
    </w:p>
    <w:p>
      <w:pPr>
        <w:pStyle w:val="2"/>
        <w:widowControl/>
        <w:shd w:val="clear" w:color="auto" w:fill="FFFFFF"/>
        <w:spacing w:beforeAutospacing="0" w:afterAutospacing="0" w:line="480" w:lineRule="atLeast"/>
        <w:ind w:left="640"/>
        <w:rPr>
          <w:rFonts w:ascii="黑体" w:hAnsi="黑体" w:eastAsia="黑体" w:cs="黑体"/>
          <w:color w:val="00000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</w:rPr>
        <w:t>六、部门整体支出绩效情况</w:t>
      </w:r>
    </w:p>
    <w:p>
      <w:pPr>
        <w:pStyle w:val="2"/>
        <w:widowControl/>
        <w:shd w:val="clear" w:color="auto" w:fill="FFFFFF"/>
        <w:spacing w:beforeAutospacing="0" w:afterAutospacing="0" w:line="480" w:lineRule="atLeast"/>
        <w:ind w:firstLine="645"/>
        <w:jc w:val="both"/>
        <w:rPr>
          <w:rFonts w:ascii="仿宋" w:hAnsi="仿宋" w:eastAsia="仿宋" w:cs="仿宋"/>
          <w:color w:val="0C0C0C"/>
          <w:kern w:val="2"/>
          <w:sz w:val="32"/>
          <w:szCs w:val="32"/>
        </w:rPr>
      </w:pPr>
      <w:r>
        <w:rPr>
          <w:rFonts w:hint="eastAsia" w:ascii="仿宋" w:hAnsi="仿宋" w:eastAsia="仿宋"/>
          <w:color w:val="010101"/>
          <w:sz w:val="32"/>
          <w:szCs w:val="32"/>
        </w:rPr>
        <w:t>202</w:t>
      </w:r>
      <w:r>
        <w:rPr>
          <w:rFonts w:hint="eastAsia" w:ascii="仿宋" w:hAnsi="仿宋" w:eastAsia="仿宋"/>
          <w:color w:val="010101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color w:val="010101"/>
          <w:sz w:val="32"/>
          <w:szCs w:val="32"/>
        </w:rPr>
        <w:t>年，我单位在县委、县政府、县教育局的领导下，坚持依法办教育，稳中求进，改革创新，积极作为，突出抓改革强监管促发展，</w:t>
      </w:r>
      <w:r>
        <w:rPr>
          <w:rFonts w:hint="eastAsia" w:ascii="仿宋" w:hAnsi="仿宋" w:eastAsia="仿宋" w:cs="仿宋"/>
          <w:color w:val="0C0C0C"/>
          <w:kern w:val="2"/>
          <w:sz w:val="32"/>
          <w:szCs w:val="32"/>
        </w:rPr>
        <w:t>各方面工作稳步推进。根据部门整体支出绩效自评评分（详见附件2），得分</w:t>
      </w:r>
      <w:r>
        <w:rPr>
          <w:rFonts w:hint="eastAsia" w:ascii="仿宋" w:hAnsi="仿宋" w:eastAsia="仿宋" w:cs="仿宋"/>
          <w:color w:val="0C0C0C"/>
          <w:sz w:val="32"/>
          <w:szCs w:val="32"/>
          <w:lang w:val="en-US" w:eastAsia="zh-CN"/>
        </w:rPr>
        <w:t>93</w:t>
      </w:r>
      <w:bookmarkStart w:id="0" w:name="_GoBack"/>
      <w:bookmarkEnd w:id="0"/>
      <w:r>
        <w:rPr>
          <w:rFonts w:hint="eastAsia" w:ascii="仿宋" w:hAnsi="仿宋" w:eastAsia="仿宋" w:cs="仿宋"/>
          <w:color w:val="0C0C0C"/>
          <w:kern w:val="2"/>
          <w:sz w:val="32"/>
          <w:szCs w:val="32"/>
        </w:rPr>
        <w:t>分，部门整体支出绩效为“良”。主要绩效如下：</w:t>
      </w:r>
    </w:p>
    <w:p>
      <w:pPr>
        <w:pStyle w:val="2"/>
        <w:widowControl/>
        <w:numPr>
          <w:ilvl w:val="0"/>
          <w:numId w:val="0"/>
        </w:numPr>
        <w:shd w:val="clear" w:color="auto" w:fill="FFFFFF"/>
        <w:spacing w:beforeAutospacing="0" w:afterAutospacing="0" w:line="480" w:lineRule="atLeast"/>
        <w:ind w:firstLine="643" w:firstLineChars="200"/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</w:pPr>
      <w:r>
        <w:rPr>
          <w:rFonts w:hint="eastAsia" w:ascii="楷体" w:hAnsi="楷体" w:eastAsia="楷体" w:cs="楷体"/>
          <w:b/>
          <w:bCs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t>（一）</w:t>
      </w:r>
      <w:r>
        <w:rPr>
          <w:rFonts w:hint="eastAsia" w:ascii="楷体" w:hAnsi="楷体" w:eastAsia="楷体" w:cs="楷体"/>
          <w:b/>
          <w:bCs/>
          <w:color w:val="000000"/>
          <w:sz w:val="32"/>
          <w:szCs w:val="32"/>
          <w:shd w:val="clear" w:color="auto" w:fill="FFFFFF"/>
        </w:rPr>
        <w:t>成绩一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。</w:t>
      </w:r>
      <w:r>
        <w:rPr>
          <w:rFonts w:hint="eastAsia" w:ascii="仿宋" w:hAnsi="仿宋" w:eastAsia="仿宋"/>
          <w:color w:val="010101"/>
          <w:sz w:val="32"/>
          <w:szCs w:val="32"/>
        </w:rPr>
        <w:t>钱随事走，绩效考核，专款专用。建立上下协调、部门联动、层层抓落实的工作职责，将绩效管理责任分解落实到具体项目单位、明确到具体责任人，确保每一笔资金花得安全、用得高效。</w:t>
      </w:r>
    </w:p>
    <w:p>
      <w:pPr>
        <w:pStyle w:val="2"/>
        <w:widowControl/>
        <w:numPr>
          <w:ilvl w:val="0"/>
          <w:numId w:val="0"/>
        </w:numPr>
        <w:shd w:val="clear" w:color="auto" w:fill="FFFFFF"/>
        <w:spacing w:beforeAutospacing="0" w:afterAutospacing="0" w:line="480" w:lineRule="atLeast"/>
        <w:ind w:firstLine="645" w:firstLineChars="0"/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</w:pPr>
      <w:r>
        <w:rPr>
          <w:rFonts w:hint="eastAsia" w:ascii="楷体" w:hAnsi="楷体" w:eastAsia="楷体" w:cs="楷体"/>
          <w:b/>
          <w:bCs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t>（二）</w:t>
      </w:r>
      <w:r>
        <w:rPr>
          <w:rFonts w:hint="eastAsia" w:ascii="楷体" w:hAnsi="楷体" w:eastAsia="楷体" w:cs="楷体"/>
          <w:b/>
          <w:bCs/>
          <w:color w:val="000000"/>
          <w:sz w:val="32"/>
          <w:szCs w:val="32"/>
          <w:shd w:val="clear" w:color="auto" w:fill="FFFFFF"/>
        </w:rPr>
        <w:t>成绩二。</w:t>
      </w:r>
      <w:r>
        <w:rPr>
          <w:rFonts w:hint="eastAsia" w:ascii="仿宋" w:hAnsi="仿宋" w:eastAsia="仿宋"/>
          <w:color w:val="010101"/>
          <w:sz w:val="32"/>
          <w:szCs w:val="32"/>
        </w:rPr>
        <w:t>严控“三公”经费支出，严刹大吃大喝风，</w:t>
      </w:r>
      <w:r>
        <w:rPr>
          <w:rFonts w:hint="eastAsia" w:ascii="仿宋" w:hAnsi="仿宋" w:eastAsia="仿宋"/>
          <w:color w:val="010101"/>
          <w:sz w:val="32"/>
          <w:szCs w:val="32"/>
          <w:lang w:eastAsia="zh-CN"/>
        </w:rPr>
        <w:t>全年无</w:t>
      </w:r>
      <w:r>
        <w:rPr>
          <w:rFonts w:hint="eastAsia" w:ascii="仿宋" w:hAnsi="仿宋" w:eastAsia="仿宋"/>
          <w:color w:val="010101"/>
          <w:sz w:val="32"/>
          <w:szCs w:val="32"/>
        </w:rPr>
        <w:t>公务接待费</w:t>
      </w:r>
      <w:r>
        <w:rPr>
          <w:rFonts w:hint="eastAsia" w:ascii="仿宋" w:hAnsi="仿宋" w:eastAsia="仿宋"/>
          <w:color w:val="010101"/>
          <w:sz w:val="32"/>
          <w:szCs w:val="32"/>
          <w:lang w:eastAsia="zh-CN"/>
        </w:rPr>
        <w:t>支出</w:t>
      </w:r>
      <w:r>
        <w:rPr>
          <w:rFonts w:hint="eastAsia" w:ascii="仿宋" w:hAnsi="仿宋" w:eastAsia="仿宋" w:cs="仿宋"/>
          <w:color w:val="0C0C0C"/>
          <w:sz w:val="32"/>
          <w:szCs w:val="32"/>
        </w:rPr>
        <w:t>。</w:t>
      </w:r>
    </w:p>
    <w:p>
      <w:pPr>
        <w:ind w:firstLine="643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t>（三）</w:t>
      </w:r>
      <w:r>
        <w:rPr>
          <w:rFonts w:hint="eastAsia" w:ascii="楷体" w:hAnsi="楷体" w:eastAsia="楷体" w:cs="楷体"/>
          <w:b/>
          <w:bCs/>
          <w:color w:val="000000"/>
          <w:sz w:val="32"/>
          <w:szCs w:val="32"/>
          <w:shd w:val="clear" w:color="auto" w:fill="FFFFFF"/>
        </w:rPr>
        <w:t>成绩三。</w:t>
      </w:r>
      <w:r>
        <w:rPr>
          <w:rFonts w:hint="eastAsia" w:ascii="仿宋" w:hAnsi="仿宋" w:eastAsia="仿宋" w:cs="仿宋"/>
          <w:sz w:val="32"/>
          <w:szCs w:val="32"/>
        </w:rPr>
        <w:t>民俗文化传承活动教育</w:t>
      </w:r>
    </w:p>
    <w:p>
      <w:pPr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sz w:val="32"/>
          <w:szCs w:val="32"/>
        </w:rPr>
        <w:t>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年6月份，成功举办全县少年宫学校辅导教师迎建党一百周年书法、绘画、摄影、科学影像活动。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银艳</w:t>
      </w:r>
      <w:r>
        <w:rPr>
          <w:rFonts w:hint="eastAsia" w:ascii="仿宋" w:hAnsi="仿宋" w:eastAsia="仿宋" w:cs="仿宋"/>
          <w:sz w:val="32"/>
          <w:szCs w:val="32"/>
        </w:rPr>
        <w:t>（三小）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杨小</w:t>
      </w:r>
      <w:r>
        <w:rPr>
          <w:rFonts w:hint="eastAsia" w:ascii="仿宋" w:hAnsi="仿宋" w:eastAsia="仿宋" w:cs="仿宋"/>
          <w:sz w:val="32"/>
          <w:szCs w:val="32"/>
        </w:rPr>
        <w:t>云（二中）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袁治军</w:t>
      </w:r>
      <w:r>
        <w:rPr>
          <w:rFonts w:hint="eastAsia" w:ascii="仿宋" w:hAnsi="仿宋" w:eastAsia="仿宋" w:cs="仿宋"/>
          <w:sz w:val="32"/>
          <w:szCs w:val="32"/>
        </w:rPr>
        <w:t>（思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源学校</w:t>
      </w:r>
      <w:r>
        <w:rPr>
          <w:rFonts w:hint="eastAsia" w:ascii="仿宋" w:hAnsi="仿宋" w:eastAsia="仿宋" w:cs="仿宋"/>
          <w:sz w:val="32"/>
          <w:szCs w:val="32"/>
        </w:rPr>
        <w:t>）等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59</w:t>
      </w:r>
      <w:r>
        <w:rPr>
          <w:rFonts w:hint="eastAsia" w:ascii="仿宋" w:hAnsi="仿宋" w:eastAsia="仿宋" w:cs="仿宋"/>
          <w:sz w:val="32"/>
          <w:szCs w:val="32"/>
        </w:rPr>
        <w:t>人分别获得一、二、三等奖；202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年分别举行少年宫书法辅导教师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次，在思源实验学校、县实验中学、县民族小学开展学生现场书法赛事各一次；</w:t>
      </w:r>
    </w:p>
    <w:p>
      <w:pPr>
        <w:pStyle w:val="2"/>
        <w:widowControl/>
        <w:numPr>
          <w:ilvl w:val="0"/>
          <w:numId w:val="0"/>
        </w:numPr>
        <w:shd w:val="clear" w:color="auto" w:fill="FFFFFF"/>
        <w:spacing w:beforeAutospacing="0" w:afterAutospacing="0" w:line="480" w:lineRule="atLeast"/>
        <w:ind w:firstLine="645" w:firstLineChars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kern w:val="0"/>
          <w:sz w:val="32"/>
          <w:szCs w:val="32"/>
          <w:lang w:val="en-US" w:eastAsia="zh-CN" w:bidi="ar-SA"/>
        </w:rPr>
        <w:t>（四）</w:t>
      </w:r>
      <w:r>
        <w:rPr>
          <w:rFonts w:hint="eastAsia" w:ascii="楷体" w:hAnsi="楷体" w:eastAsia="楷体" w:cs="楷体"/>
          <w:b/>
          <w:bCs/>
          <w:color w:val="000000"/>
          <w:sz w:val="32"/>
          <w:szCs w:val="32"/>
          <w:shd w:val="clear" w:color="auto" w:fill="FFFFFF"/>
        </w:rPr>
        <w:t>成绩</w:t>
      </w:r>
      <w:r>
        <w:rPr>
          <w:rFonts w:hint="eastAsia" w:ascii="楷体" w:hAnsi="楷体" w:eastAsia="楷体" w:cs="楷体"/>
          <w:b/>
          <w:bCs/>
          <w:color w:val="000000"/>
          <w:sz w:val="32"/>
          <w:szCs w:val="32"/>
          <w:shd w:val="clear" w:color="auto" w:fill="FFFFFF"/>
          <w:lang w:eastAsia="zh-CN"/>
        </w:rPr>
        <w:t>四</w:t>
      </w:r>
      <w:r>
        <w:rPr>
          <w:rFonts w:hint="eastAsia" w:ascii="楷体" w:hAnsi="楷体" w:eastAsia="楷体" w:cs="楷体"/>
          <w:b/>
          <w:bCs/>
          <w:color w:val="000000"/>
          <w:sz w:val="32"/>
          <w:szCs w:val="32"/>
          <w:shd w:val="clear" w:color="auto" w:fill="FFFFFF"/>
        </w:rPr>
        <w:t>。</w:t>
      </w:r>
      <w:r>
        <w:rPr>
          <w:rFonts w:hint="eastAsia" w:ascii="仿宋" w:hAnsi="仿宋" w:eastAsia="仿宋" w:cs="仿宋"/>
          <w:sz w:val="32"/>
          <w:szCs w:val="32"/>
        </w:rPr>
        <w:t>加强对乡村学校少年宫的管理与指导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spacing w:line="440" w:lineRule="atLeas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加强对乡村学校少年宫校外活动开展的指导与支持。在业务上加以指导，在经费上予以支持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sz w:val="32"/>
          <w:szCs w:val="32"/>
        </w:rPr>
        <w:t>积极组织各乡村学校少年宫开展各种形式的校外活动和竞赛，把校外活动与学校课后服务有机结合起来，注重活动形式与质量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sz w:val="32"/>
          <w:szCs w:val="32"/>
        </w:rPr>
        <w:t>加强对乡村学校少年宫的经费管理，充分发挥各乡村学校少年宫现有的条件与财力，最大程度把经费使用的学生身上。</w:t>
      </w:r>
    </w:p>
    <w:p>
      <w:pPr>
        <w:spacing w:line="440" w:lineRule="atLeast"/>
        <w:ind w:firstLine="643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kern w:val="0"/>
          <w:sz w:val="32"/>
          <w:szCs w:val="32"/>
          <w:lang w:val="en-US" w:eastAsia="zh-CN" w:bidi="ar-SA"/>
        </w:rPr>
        <w:t>（五）</w:t>
      </w:r>
      <w:r>
        <w:rPr>
          <w:rFonts w:hint="eastAsia" w:ascii="楷体" w:hAnsi="楷体" w:eastAsia="楷体" w:cs="楷体"/>
          <w:b/>
          <w:bCs/>
          <w:color w:val="000000"/>
          <w:sz w:val="32"/>
          <w:szCs w:val="32"/>
          <w:shd w:val="clear" w:color="auto" w:fill="FFFFFF"/>
        </w:rPr>
        <w:t>成绩</w:t>
      </w:r>
      <w:r>
        <w:rPr>
          <w:rFonts w:hint="eastAsia" w:ascii="楷体" w:hAnsi="楷体" w:eastAsia="楷体" w:cs="楷体"/>
          <w:b/>
          <w:bCs/>
          <w:color w:val="000000"/>
          <w:sz w:val="32"/>
          <w:szCs w:val="32"/>
          <w:shd w:val="clear" w:color="auto" w:fill="FFFFFF"/>
          <w:lang w:eastAsia="zh-CN"/>
        </w:rPr>
        <w:t>五</w:t>
      </w:r>
      <w:r>
        <w:rPr>
          <w:rFonts w:hint="eastAsia" w:ascii="楷体" w:hAnsi="楷体" w:eastAsia="楷体" w:cs="楷体"/>
          <w:b/>
          <w:bCs/>
          <w:color w:val="000000"/>
          <w:sz w:val="32"/>
          <w:szCs w:val="32"/>
          <w:shd w:val="clear" w:color="auto" w:fill="FFFFFF"/>
        </w:rPr>
        <w:t>。</w:t>
      </w:r>
      <w:r>
        <w:rPr>
          <w:rFonts w:hint="eastAsia" w:ascii="仿宋" w:hAnsi="仿宋" w:eastAsia="仿宋" w:cs="仿宋"/>
          <w:sz w:val="32"/>
          <w:szCs w:val="32"/>
        </w:rPr>
        <w:t>根据上级竞赛组织部门工作时间调整，抓好全县少儿系列科技活动开展与竞赛。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年上半年，绥宁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一</w:t>
      </w:r>
      <w:r>
        <w:rPr>
          <w:rFonts w:hint="eastAsia" w:ascii="仿宋" w:hAnsi="仿宋" w:eastAsia="仿宋" w:cs="仿宋"/>
          <w:sz w:val="32"/>
          <w:szCs w:val="32"/>
        </w:rPr>
        <w:t>中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陈伟</w:t>
      </w:r>
      <w:r>
        <w:rPr>
          <w:rFonts w:hint="eastAsia" w:ascii="仿宋" w:hAnsi="仿宋" w:eastAsia="仿宋" w:cs="仿宋"/>
          <w:sz w:val="32"/>
          <w:szCs w:val="32"/>
        </w:rPr>
        <w:t>老师辅导的学生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叶孟扬、钟可在</w:t>
      </w:r>
      <w:r>
        <w:rPr>
          <w:rFonts w:hint="eastAsia" w:ascii="仿宋" w:hAnsi="仿宋" w:eastAsia="仿宋" w:cs="仿宋"/>
          <w:sz w:val="32"/>
          <w:szCs w:val="32"/>
        </w:rPr>
        <w:t>科技创新大赛科学DV项目，获得省冠军；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在市机器人综合技能赛中，杨长伟老师辅导的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吴天、刘波</w:t>
      </w:r>
      <w:r>
        <w:rPr>
          <w:rFonts w:hint="eastAsia" w:ascii="仿宋" w:hAnsi="仿宋" w:eastAsia="仿宋" w:cs="仿宋"/>
          <w:sz w:val="32"/>
          <w:szCs w:val="32"/>
        </w:rPr>
        <w:t>获高中组市、省一等奖，并代表湖南参加国赛；思源刘凌峰、申平、苏菲、侯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林</w:t>
      </w:r>
      <w:r>
        <w:rPr>
          <w:rFonts w:hint="eastAsia" w:ascii="仿宋" w:hAnsi="仿宋" w:eastAsia="仿宋" w:cs="仿宋"/>
          <w:sz w:val="32"/>
          <w:szCs w:val="32"/>
        </w:rPr>
        <w:t>获得市初中组三等奖；三小向嘉程、苑吉明获得小学组三等奖。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在机器人创新挑战赛中，绿洲中学朱远明老师辅导的学生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伍芳芳、周子力</w:t>
      </w:r>
      <w:r>
        <w:rPr>
          <w:rFonts w:hint="eastAsia" w:ascii="仿宋" w:hAnsi="仿宋" w:eastAsia="仿宋" w:cs="仿宋"/>
          <w:sz w:val="32"/>
          <w:szCs w:val="32"/>
        </w:rPr>
        <w:t>获得市、省冠军，代表湖南进入国赛；沈显明、向欣豪获得市二等奖；</w:t>
      </w:r>
    </w:p>
    <w:p>
      <w:pPr>
        <w:widowControl/>
        <w:ind w:firstLine="645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市编程无人机赛，长铺三小贺涵、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袁博刚</w:t>
      </w:r>
      <w:r>
        <w:rPr>
          <w:rFonts w:hint="eastAsia" w:ascii="仿宋" w:hAnsi="仿宋" w:eastAsia="仿宋" w:cs="仿宋"/>
          <w:sz w:val="32"/>
          <w:szCs w:val="32"/>
        </w:rPr>
        <w:t>获得市一等奖；杨昌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凌</w:t>
      </w:r>
      <w:r>
        <w:rPr>
          <w:rFonts w:hint="eastAsia" w:ascii="仿宋" w:hAnsi="仿宋" w:eastAsia="仿宋" w:cs="仿宋"/>
          <w:sz w:val="32"/>
          <w:szCs w:val="32"/>
        </w:rPr>
        <w:t>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黄月</w:t>
      </w:r>
      <w:r>
        <w:rPr>
          <w:rFonts w:hint="eastAsia" w:ascii="仿宋" w:hAnsi="仿宋" w:eastAsia="仿宋" w:cs="仿宋"/>
          <w:sz w:val="32"/>
          <w:szCs w:val="32"/>
        </w:rPr>
        <w:t>获得市二等奖；吴承鑫、肖鹏飞获得市三等奖。</w:t>
      </w:r>
    </w:p>
    <w:p>
      <w:pPr>
        <w:widowControl/>
        <w:ind w:firstLine="645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市WEO普及赛，长铺二小学生龙峻熙、周志轩获得市二等奖。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本单位</w:t>
      </w:r>
      <w:r>
        <w:rPr>
          <w:rFonts w:hint="eastAsia" w:ascii="仿宋" w:hAnsi="仿宋" w:eastAsia="仿宋" w:cs="仿宋"/>
          <w:sz w:val="32"/>
          <w:szCs w:val="32"/>
        </w:rPr>
        <w:t>被评为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邵阳</w:t>
      </w:r>
      <w:r>
        <w:rPr>
          <w:rFonts w:hint="eastAsia" w:ascii="仿宋" w:hAnsi="仿宋" w:eastAsia="仿宋" w:cs="仿宋"/>
          <w:sz w:val="32"/>
          <w:szCs w:val="32"/>
        </w:rPr>
        <w:t>市202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年邵阳市青少年机器人竞赛暨第2届邵阳市青少年创意编程与智能设计竞赛“优秀组织单位”。</w:t>
      </w:r>
    </w:p>
    <w:p>
      <w:pPr>
        <w:spacing w:line="440" w:lineRule="atLeas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2"/>
        <w:widowControl/>
        <w:shd w:val="clear" w:color="auto" w:fill="FFFFFF"/>
        <w:spacing w:beforeAutospacing="0" w:afterAutospacing="0" w:line="480" w:lineRule="atLeast"/>
        <w:ind w:left="640"/>
        <w:rPr>
          <w:rFonts w:ascii="黑体" w:hAnsi="黑体" w:eastAsia="黑体" w:cs="黑体"/>
          <w:color w:val="00000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</w:rPr>
        <w:t>七、存在的问题及原因分析</w:t>
      </w:r>
    </w:p>
    <w:p>
      <w:pPr>
        <w:pStyle w:val="2"/>
        <w:widowControl/>
        <w:shd w:val="clear" w:color="auto" w:fill="FFFFFF"/>
        <w:spacing w:beforeAutospacing="0" w:afterAutospacing="0" w:line="480" w:lineRule="atLeast"/>
        <w:ind w:left="645"/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</w:pPr>
      <w:r>
        <w:rPr>
          <w:rFonts w:hint="eastAsia" w:ascii="楷体" w:hAnsi="楷体" w:eastAsia="楷体" w:cs="楷体"/>
          <w:b/>
          <w:bCs/>
          <w:color w:val="000000"/>
          <w:sz w:val="32"/>
          <w:szCs w:val="32"/>
          <w:shd w:val="clear" w:color="auto" w:fill="FFFFFF"/>
        </w:rPr>
        <w:t>（一）问题一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。</w:t>
      </w:r>
      <w:r>
        <w:rPr>
          <w:rFonts w:hint="eastAsia" w:ascii="仿宋" w:hAnsi="仿宋" w:eastAsia="仿宋"/>
          <w:color w:val="010101"/>
          <w:sz w:val="32"/>
          <w:szCs w:val="32"/>
        </w:rPr>
        <w:t>预算执行 ：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由于无法在年初核实参加各项活动竞赛赛事学生人数及次数，经费无法在年初列入预算，年中教师人数会有较大变动，预算控制率波动较大；基本支出经费预算过低，导致商品和服务费用较年初预算数会有大幅增加，使整体经费使用不能按科目进行</w:t>
      </w:r>
      <w:r>
        <w:rPr>
          <w:rFonts w:hint="eastAsia" w:ascii="仿宋" w:hAnsi="仿宋" w:eastAsia="仿宋" w:cs="仿宋"/>
          <w:color w:val="0C0C0C"/>
          <w:sz w:val="32"/>
          <w:szCs w:val="32"/>
        </w:rPr>
        <w:t>。</w:t>
      </w:r>
    </w:p>
    <w:p>
      <w:pPr>
        <w:pStyle w:val="2"/>
        <w:widowControl/>
        <w:shd w:val="clear" w:color="auto" w:fill="FFFFFF"/>
        <w:spacing w:beforeAutospacing="0" w:afterAutospacing="0" w:line="480" w:lineRule="atLeast"/>
        <w:ind w:left="645"/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</w:pPr>
      <w:r>
        <w:rPr>
          <w:rFonts w:hint="eastAsia" w:ascii="楷体" w:hAnsi="楷体" w:eastAsia="楷体" w:cs="楷体"/>
          <w:b/>
          <w:bCs/>
          <w:color w:val="000000"/>
          <w:sz w:val="32"/>
          <w:szCs w:val="32"/>
          <w:shd w:val="clear" w:color="auto" w:fill="FFFFFF"/>
        </w:rPr>
        <w:t>（二）问题二。</w:t>
      </w:r>
      <w:r>
        <w:rPr>
          <w:rFonts w:hint="eastAsia" w:ascii="仿宋" w:hAnsi="仿宋" w:eastAsia="仿宋"/>
          <w:color w:val="010101"/>
          <w:sz w:val="32"/>
          <w:szCs w:val="32"/>
        </w:rPr>
        <w:t>资产核算：受人手紧张、财务人员更换衔接不到位等因素影响，资产核算工作虽按时完成，但存在部分固定资产设备超过使用年限未能及时进行报废处理</w:t>
      </w:r>
      <w:r>
        <w:rPr>
          <w:rFonts w:hint="eastAsia" w:ascii="仿宋" w:hAnsi="仿宋" w:eastAsia="仿宋" w:cs="仿宋"/>
          <w:color w:val="0C0C0C"/>
          <w:sz w:val="32"/>
          <w:szCs w:val="32"/>
        </w:rPr>
        <w:t>。</w:t>
      </w:r>
    </w:p>
    <w:p>
      <w:pPr>
        <w:pStyle w:val="2"/>
        <w:widowControl/>
        <w:shd w:val="clear" w:color="auto" w:fill="FFFFFF"/>
        <w:spacing w:beforeAutospacing="0" w:afterAutospacing="0" w:line="480" w:lineRule="atLeast"/>
        <w:ind w:left="645"/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</w:pPr>
      <w:r>
        <w:rPr>
          <w:rFonts w:hint="eastAsia" w:ascii="楷体" w:hAnsi="楷体" w:eastAsia="楷体" w:cs="楷体"/>
          <w:b/>
          <w:bCs/>
          <w:color w:val="000000"/>
          <w:sz w:val="32"/>
          <w:szCs w:val="32"/>
          <w:shd w:val="clear" w:color="auto" w:fill="FFFFFF"/>
        </w:rPr>
        <w:t>（三）问题三。</w:t>
      </w:r>
      <w:r>
        <w:rPr>
          <w:rFonts w:hint="eastAsia" w:ascii="仿宋" w:hAnsi="仿宋" w:eastAsia="仿宋"/>
          <w:color w:val="010101"/>
          <w:sz w:val="32"/>
          <w:szCs w:val="32"/>
        </w:rPr>
        <w:t>经费保障：因年底财务决算资金清零，次年预算批复时间较迟影响，年初单位发生的经济业务事项存在未能及时进行资金支付；受业务性质影响，平时支出较慢，年底支出比重较大，月度支出不平衡</w:t>
      </w:r>
      <w:r>
        <w:rPr>
          <w:rFonts w:hint="eastAsia" w:ascii="仿宋" w:hAnsi="仿宋" w:eastAsia="仿宋" w:cs="仿宋"/>
          <w:color w:val="0C0C0C"/>
          <w:sz w:val="32"/>
          <w:szCs w:val="32"/>
        </w:rPr>
        <w:t>。</w:t>
      </w:r>
    </w:p>
    <w:p>
      <w:pPr>
        <w:pStyle w:val="2"/>
        <w:widowControl/>
        <w:shd w:val="clear" w:color="auto" w:fill="FFFFFF"/>
        <w:spacing w:beforeAutospacing="0" w:afterAutospacing="0" w:line="480" w:lineRule="atLeast"/>
        <w:ind w:left="640"/>
        <w:rPr>
          <w:rFonts w:ascii="黑体" w:hAnsi="黑体" w:eastAsia="黑体" w:cs="黑体"/>
          <w:color w:val="00000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</w:rPr>
        <w:t>八、下一步改进措施</w:t>
      </w:r>
    </w:p>
    <w:p>
      <w:pPr>
        <w:autoSpaceDN w:val="0"/>
        <w:ind w:firstLine="640" w:firstLineChars="200"/>
        <w:rPr>
          <w:rFonts w:hint="eastAsia" w:ascii="仿宋" w:hAnsi="仿宋" w:eastAsia="仿宋"/>
          <w:color w:val="010101"/>
          <w:sz w:val="32"/>
          <w:szCs w:val="32"/>
        </w:rPr>
      </w:pPr>
      <w:r>
        <w:rPr>
          <w:rFonts w:hint="eastAsia" w:ascii="仿宋" w:hAnsi="仿宋" w:eastAsia="仿宋"/>
          <w:color w:val="010101"/>
          <w:sz w:val="32"/>
          <w:szCs w:val="32"/>
        </w:rPr>
        <w:t>（一）高度重视财政预决算支出工作，稳定财务人员队伍，加强人员配备，进一步提高财务工作水平。</w:t>
      </w:r>
    </w:p>
    <w:p>
      <w:pPr>
        <w:autoSpaceDN w:val="0"/>
        <w:ind w:firstLine="640" w:firstLineChars="200"/>
        <w:rPr>
          <w:rFonts w:hint="eastAsia" w:ascii="仿宋" w:hAnsi="仿宋" w:eastAsia="仿宋"/>
          <w:color w:val="010101"/>
          <w:sz w:val="32"/>
          <w:szCs w:val="32"/>
        </w:rPr>
      </w:pPr>
      <w:r>
        <w:rPr>
          <w:rFonts w:hint="eastAsia" w:ascii="仿宋" w:hAnsi="仿宋" w:eastAsia="仿宋"/>
          <w:color w:val="010101"/>
          <w:sz w:val="32"/>
          <w:szCs w:val="32"/>
        </w:rPr>
        <w:t>（二）加强内部管理，严格执行预算，坚持厉行节约，进一步降低财务支出。</w:t>
      </w:r>
    </w:p>
    <w:p>
      <w:pPr>
        <w:autoSpaceDN w:val="0"/>
        <w:ind w:firstLine="640" w:firstLineChars="200"/>
        <w:rPr>
          <w:rFonts w:hint="eastAsia" w:ascii="仿宋" w:hAnsi="仿宋" w:eastAsia="仿宋"/>
          <w:color w:val="010101"/>
          <w:sz w:val="32"/>
          <w:szCs w:val="32"/>
        </w:rPr>
      </w:pPr>
      <w:r>
        <w:rPr>
          <w:rFonts w:hint="eastAsia" w:ascii="仿宋" w:hAnsi="仿宋" w:eastAsia="仿宋"/>
          <w:color w:val="010101"/>
          <w:sz w:val="32"/>
          <w:szCs w:val="32"/>
        </w:rPr>
        <w:t>（三）严格执行相关财务制度，进一步提高办事效率。</w:t>
      </w:r>
    </w:p>
    <w:p>
      <w:pPr>
        <w:pStyle w:val="2"/>
        <w:widowControl/>
        <w:shd w:val="clear" w:color="auto" w:fill="FFFFFF"/>
        <w:spacing w:beforeAutospacing="0" w:afterAutospacing="0" w:line="480" w:lineRule="atLeast"/>
        <w:ind w:firstLine="645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10101"/>
          <w:sz w:val="32"/>
          <w:szCs w:val="32"/>
        </w:rPr>
        <w:t>（四）提高基本支出经费预算。</w:t>
      </w:r>
    </w:p>
    <w:p>
      <w:pPr>
        <w:pStyle w:val="2"/>
        <w:widowControl/>
        <w:shd w:val="clear" w:color="auto" w:fill="FFFFFF"/>
        <w:spacing w:beforeAutospacing="0" w:afterAutospacing="0" w:line="480" w:lineRule="atLeast"/>
        <w:ind w:firstLine="645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附件：1.部门整体支出绩效评价基础数据表</w:t>
      </w:r>
    </w:p>
    <w:p>
      <w:pPr>
        <w:pStyle w:val="2"/>
        <w:widowControl/>
        <w:shd w:val="clear" w:color="auto" w:fill="FFFFFF"/>
        <w:spacing w:beforeAutospacing="0" w:afterAutospacing="0" w:line="480" w:lineRule="atLeast"/>
        <w:ind w:firstLine="1609" w:firstLineChars="503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2.部门整体支出绩效自评表</w:t>
      </w:r>
    </w:p>
    <w:p>
      <w:pPr>
        <w:pStyle w:val="2"/>
        <w:widowControl/>
        <w:shd w:val="clear" w:color="auto" w:fill="FFFFFF"/>
        <w:spacing w:beforeAutospacing="0" w:afterAutospacing="0" w:line="480" w:lineRule="atLeast"/>
        <w:jc w:val="both"/>
        <w:rPr>
          <w:rFonts w:ascii="黑体" w:hAnsi="黑体" w:eastAsia="黑体" w:cs="黑体"/>
          <w:color w:val="000000"/>
          <w:sz w:val="32"/>
          <w:szCs w:val="32"/>
          <w:shd w:val="clear" w:color="auto" w:fill="FFFFFF"/>
        </w:rPr>
      </w:pPr>
    </w:p>
    <w:p>
      <w:pPr>
        <w:pStyle w:val="2"/>
        <w:widowControl/>
        <w:shd w:val="clear" w:color="auto" w:fill="FFFFFF"/>
        <w:spacing w:beforeAutospacing="0" w:afterAutospacing="0" w:line="480" w:lineRule="atLeast"/>
        <w:jc w:val="both"/>
        <w:rPr>
          <w:rFonts w:ascii="黑体" w:hAnsi="黑体" w:eastAsia="黑体" w:cs="黑体"/>
          <w:color w:val="000000"/>
          <w:sz w:val="32"/>
          <w:szCs w:val="32"/>
          <w:shd w:val="clear" w:color="auto" w:fill="FFFFFF"/>
        </w:rPr>
      </w:pPr>
    </w:p>
    <w:p>
      <w:pPr>
        <w:pStyle w:val="2"/>
        <w:widowControl/>
        <w:shd w:val="clear" w:color="auto" w:fill="FFFFFF"/>
        <w:spacing w:beforeAutospacing="0" w:afterAutospacing="0" w:line="480" w:lineRule="atLeast"/>
        <w:jc w:val="both"/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</w:rPr>
      </w:pPr>
    </w:p>
    <w:p>
      <w:pPr>
        <w:pStyle w:val="2"/>
        <w:widowControl/>
        <w:shd w:val="clear" w:color="auto" w:fill="FFFFFF"/>
        <w:spacing w:beforeAutospacing="0" w:afterAutospacing="0" w:line="480" w:lineRule="atLeast"/>
        <w:jc w:val="both"/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</w:rPr>
      </w:pPr>
    </w:p>
    <w:p>
      <w:pPr>
        <w:pStyle w:val="2"/>
        <w:widowControl/>
        <w:shd w:val="clear" w:color="auto" w:fill="FFFFFF"/>
        <w:spacing w:beforeAutospacing="0" w:afterAutospacing="0" w:line="480" w:lineRule="atLeast"/>
        <w:jc w:val="both"/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</w:rPr>
      </w:pPr>
    </w:p>
    <w:p>
      <w:pPr>
        <w:pStyle w:val="2"/>
        <w:widowControl/>
        <w:shd w:val="clear" w:color="auto" w:fill="FFFFFF"/>
        <w:spacing w:beforeAutospacing="0" w:afterAutospacing="0" w:line="480" w:lineRule="atLeast"/>
        <w:jc w:val="both"/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</w:rPr>
      </w:pPr>
    </w:p>
    <w:p>
      <w:pPr>
        <w:pStyle w:val="2"/>
        <w:widowControl/>
        <w:shd w:val="clear" w:color="auto" w:fill="FFFFFF"/>
        <w:spacing w:beforeAutospacing="0" w:afterAutospacing="0" w:line="480" w:lineRule="atLeast"/>
        <w:jc w:val="both"/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</w:rPr>
      </w:pPr>
    </w:p>
    <w:p>
      <w:pPr>
        <w:pStyle w:val="2"/>
        <w:widowControl/>
        <w:shd w:val="clear" w:color="auto" w:fill="FFFFFF"/>
        <w:spacing w:beforeAutospacing="0" w:afterAutospacing="0" w:line="480" w:lineRule="atLeast"/>
        <w:jc w:val="both"/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</w:rPr>
        <w:t>附件1</w:t>
      </w:r>
    </w:p>
    <w:p>
      <w:pPr>
        <w:pStyle w:val="2"/>
        <w:widowControl/>
        <w:shd w:val="clear" w:color="auto" w:fill="FFFFFF"/>
        <w:spacing w:beforeAutospacing="0" w:afterAutospacing="0" w:line="480" w:lineRule="atLeast"/>
        <w:ind w:firstLine="980" w:firstLineChars="350"/>
        <w:jc w:val="both"/>
        <w:rPr>
          <w:rFonts w:ascii="黑体" w:hAnsi="黑体" w:eastAsia="黑体" w:cs="黑体"/>
          <w:spacing w:val="-20"/>
          <w:sz w:val="32"/>
          <w:szCs w:val="32"/>
        </w:rPr>
      </w:pPr>
      <w:r>
        <w:rPr>
          <w:rFonts w:hint="eastAsia" w:ascii="黑体" w:hAnsi="黑体" w:eastAsia="黑体" w:cs="黑体"/>
          <w:spacing w:val="-20"/>
          <w:sz w:val="32"/>
          <w:szCs w:val="32"/>
        </w:rPr>
        <w:t>2022年度部门整体支出绩效评价基础数据表</w:t>
      </w:r>
    </w:p>
    <w:p>
      <w:pPr>
        <w:spacing w:line="200" w:lineRule="exact"/>
        <w:jc w:val="center"/>
        <w:rPr>
          <w:rFonts w:eastAsia="方正小标宋_GBK"/>
          <w:sz w:val="44"/>
        </w:rPr>
      </w:pPr>
    </w:p>
    <w:tbl>
      <w:tblPr>
        <w:tblStyle w:val="3"/>
        <w:tblW w:w="1004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43"/>
        <w:gridCol w:w="1207"/>
        <w:gridCol w:w="930"/>
        <w:gridCol w:w="945"/>
        <w:gridCol w:w="1110"/>
        <w:gridCol w:w="1155"/>
        <w:gridCol w:w="115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财政供养人员情况（人）</w:t>
            </w:r>
          </w:p>
        </w:tc>
        <w:tc>
          <w:tcPr>
            <w:tcW w:w="21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编制数</w:t>
            </w:r>
          </w:p>
        </w:tc>
        <w:tc>
          <w:tcPr>
            <w:tcW w:w="20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2022年实际</w:t>
            </w:r>
          </w:p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在职人数</w:t>
            </w:r>
          </w:p>
        </w:tc>
        <w:tc>
          <w:tcPr>
            <w:tcW w:w="23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控制率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 w:cs="仿宋"/>
                <w:kern w:val="0"/>
                <w:sz w:val="32"/>
                <w:szCs w:val="21"/>
              </w:rPr>
            </w:pPr>
          </w:p>
        </w:tc>
        <w:tc>
          <w:tcPr>
            <w:tcW w:w="21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20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　</w:t>
            </w:r>
          </w:p>
        </w:tc>
        <w:tc>
          <w:tcPr>
            <w:tcW w:w="23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1</w:t>
            </w:r>
            <w:r>
              <w:rPr>
                <w:rFonts w:hint="eastAsia" w:eastAsia="仿宋_GB2312"/>
                <w:kern w:val="0"/>
                <w:szCs w:val="21"/>
                <w:lang w:val="en-US" w:eastAsia="zh-CN"/>
              </w:rPr>
              <w:t>75</w:t>
            </w:r>
            <w:r>
              <w:rPr>
                <w:rFonts w:hint="eastAsia" w:eastAsia="仿宋_GB2312"/>
                <w:kern w:val="0"/>
                <w:szCs w:val="21"/>
              </w:rPr>
              <w:t>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经费控制情况（万元）</w:t>
            </w:r>
          </w:p>
        </w:tc>
        <w:tc>
          <w:tcPr>
            <w:tcW w:w="21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2021年决算数</w:t>
            </w:r>
          </w:p>
        </w:tc>
        <w:tc>
          <w:tcPr>
            <w:tcW w:w="20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2022年预算数</w:t>
            </w:r>
          </w:p>
        </w:tc>
        <w:tc>
          <w:tcPr>
            <w:tcW w:w="23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2022年决算数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三公经费</w:t>
            </w:r>
          </w:p>
        </w:tc>
        <w:tc>
          <w:tcPr>
            <w:tcW w:w="21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 w:cs="仿宋_GB2312"/>
                <w:kern w:val="0"/>
                <w:sz w:val="24"/>
              </w:rPr>
              <w:t>0</w:t>
            </w:r>
          </w:p>
        </w:tc>
        <w:tc>
          <w:tcPr>
            <w:tcW w:w="20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 w:cs="仿宋_GB2312"/>
                <w:kern w:val="0"/>
                <w:szCs w:val="21"/>
              </w:rPr>
              <w:t>0　</w:t>
            </w:r>
          </w:p>
        </w:tc>
        <w:tc>
          <w:tcPr>
            <w:tcW w:w="23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eastAsia="仿宋_GB2312" w:cs="仿宋_GB2312"/>
                <w:kern w:val="0"/>
                <w:szCs w:val="21"/>
              </w:rPr>
              <w:t>0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 xml:space="preserve">   1、公务用车购置和维护经费</w:t>
            </w:r>
          </w:p>
        </w:tc>
        <w:tc>
          <w:tcPr>
            <w:tcW w:w="21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 w:cs="仿宋_GB2312"/>
                <w:kern w:val="0"/>
                <w:szCs w:val="21"/>
              </w:rPr>
              <w:t>0　</w:t>
            </w:r>
          </w:p>
        </w:tc>
        <w:tc>
          <w:tcPr>
            <w:tcW w:w="20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 w:cs="仿宋_GB2312"/>
                <w:kern w:val="0"/>
                <w:szCs w:val="21"/>
              </w:rPr>
              <w:t>0　</w:t>
            </w:r>
          </w:p>
        </w:tc>
        <w:tc>
          <w:tcPr>
            <w:tcW w:w="23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 w:cs="仿宋_GB2312"/>
                <w:kern w:val="0"/>
                <w:szCs w:val="21"/>
              </w:rPr>
              <w:t>0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其中：公车购置</w:t>
            </w:r>
          </w:p>
        </w:tc>
        <w:tc>
          <w:tcPr>
            <w:tcW w:w="21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 w:cs="仿宋_GB2312"/>
                <w:kern w:val="0"/>
                <w:szCs w:val="21"/>
              </w:rPr>
              <w:t>0　</w:t>
            </w:r>
          </w:p>
        </w:tc>
        <w:tc>
          <w:tcPr>
            <w:tcW w:w="20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 w:cs="仿宋_GB2312"/>
                <w:kern w:val="0"/>
                <w:szCs w:val="21"/>
              </w:rPr>
              <w:t>0　</w:t>
            </w:r>
          </w:p>
        </w:tc>
        <w:tc>
          <w:tcPr>
            <w:tcW w:w="23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 w:cs="仿宋_GB2312"/>
                <w:kern w:val="0"/>
                <w:szCs w:val="21"/>
              </w:rPr>
              <w:t>0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公车运行维护</w:t>
            </w:r>
          </w:p>
        </w:tc>
        <w:tc>
          <w:tcPr>
            <w:tcW w:w="21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 w:cs="仿宋_GB2312"/>
                <w:kern w:val="0"/>
                <w:szCs w:val="21"/>
              </w:rPr>
              <w:t>0　</w:t>
            </w:r>
          </w:p>
        </w:tc>
        <w:tc>
          <w:tcPr>
            <w:tcW w:w="20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 w:cs="仿宋_GB2312"/>
                <w:kern w:val="0"/>
                <w:szCs w:val="21"/>
              </w:rPr>
              <w:t>0　</w:t>
            </w:r>
          </w:p>
        </w:tc>
        <w:tc>
          <w:tcPr>
            <w:tcW w:w="23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 w:cs="仿宋_GB2312"/>
                <w:kern w:val="0"/>
                <w:szCs w:val="21"/>
              </w:rPr>
              <w:t>0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420" w:firstLineChars="200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2、出国经费</w:t>
            </w:r>
          </w:p>
        </w:tc>
        <w:tc>
          <w:tcPr>
            <w:tcW w:w="21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 w:cs="仿宋_GB2312"/>
                <w:kern w:val="0"/>
                <w:szCs w:val="21"/>
              </w:rPr>
              <w:t>0　</w:t>
            </w:r>
          </w:p>
        </w:tc>
        <w:tc>
          <w:tcPr>
            <w:tcW w:w="20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 w:cs="仿宋_GB2312"/>
                <w:kern w:val="0"/>
                <w:szCs w:val="21"/>
              </w:rPr>
              <w:t>0　</w:t>
            </w:r>
          </w:p>
        </w:tc>
        <w:tc>
          <w:tcPr>
            <w:tcW w:w="23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 w:cs="仿宋_GB2312"/>
                <w:kern w:val="0"/>
                <w:szCs w:val="21"/>
              </w:rPr>
              <w:t>0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420" w:firstLineChars="200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3、公务接待</w:t>
            </w:r>
          </w:p>
        </w:tc>
        <w:tc>
          <w:tcPr>
            <w:tcW w:w="21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 w:cs="仿宋_GB2312"/>
                <w:kern w:val="0"/>
                <w:sz w:val="24"/>
              </w:rPr>
              <w:t>0</w:t>
            </w:r>
          </w:p>
        </w:tc>
        <w:tc>
          <w:tcPr>
            <w:tcW w:w="20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 w:cs="仿宋_GB2312"/>
                <w:kern w:val="0"/>
                <w:szCs w:val="21"/>
              </w:rPr>
              <w:t>0　</w:t>
            </w:r>
          </w:p>
        </w:tc>
        <w:tc>
          <w:tcPr>
            <w:tcW w:w="23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eastAsia="仿宋_GB2312" w:cs="仿宋_GB2312"/>
                <w:kern w:val="0"/>
                <w:szCs w:val="21"/>
              </w:rPr>
              <w:t>0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项目支出</w:t>
            </w:r>
          </w:p>
        </w:tc>
        <w:tc>
          <w:tcPr>
            <w:tcW w:w="21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Cs w:val="21"/>
              </w:rPr>
              <w:t>0</w:t>
            </w:r>
          </w:p>
        </w:tc>
        <w:tc>
          <w:tcPr>
            <w:tcW w:w="20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 w:cs="仿宋_GB2312"/>
                <w:kern w:val="0"/>
                <w:szCs w:val="21"/>
              </w:rPr>
              <w:t>0　</w:t>
            </w:r>
          </w:p>
        </w:tc>
        <w:tc>
          <w:tcPr>
            <w:tcW w:w="23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 w:cs="仿宋_GB2312"/>
                <w:kern w:val="0"/>
                <w:szCs w:val="21"/>
              </w:rPr>
              <w:t>0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315" w:firstLineChars="150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 xml:space="preserve"> 1、业务工作经费</w:t>
            </w:r>
          </w:p>
        </w:tc>
        <w:tc>
          <w:tcPr>
            <w:tcW w:w="21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 w:cs="仿宋_GB2312"/>
                <w:kern w:val="0"/>
                <w:szCs w:val="21"/>
              </w:rPr>
              <w:t>0　</w:t>
            </w:r>
          </w:p>
        </w:tc>
        <w:tc>
          <w:tcPr>
            <w:tcW w:w="20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 w:cs="仿宋_GB2312"/>
                <w:kern w:val="0"/>
                <w:szCs w:val="21"/>
              </w:rPr>
              <w:t>0　</w:t>
            </w:r>
          </w:p>
        </w:tc>
        <w:tc>
          <w:tcPr>
            <w:tcW w:w="23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 w:cs="仿宋_GB2312"/>
                <w:kern w:val="0"/>
                <w:szCs w:val="21"/>
              </w:rPr>
              <w:t>0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420" w:firstLineChars="200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2、运行维护经费</w:t>
            </w:r>
          </w:p>
        </w:tc>
        <w:tc>
          <w:tcPr>
            <w:tcW w:w="21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 w:cs="仿宋_GB2312"/>
                <w:kern w:val="0"/>
                <w:szCs w:val="21"/>
              </w:rPr>
              <w:t>0　</w:t>
            </w:r>
          </w:p>
        </w:tc>
        <w:tc>
          <w:tcPr>
            <w:tcW w:w="20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 w:cs="仿宋_GB2312"/>
                <w:kern w:val="0"/>
                <w:szCs w:val="21"/>
              </w:rPr>
              <w:t>0　</w:t>
            </w:r>
          </w:p>
        </w:tc>
        <w:tc>
          <w:tcPr>
            <w:tcW w:w="23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 w:cs="仿宋_GB2312"/>
                <w:kern w:val="0"/>
                <w:szCs w:val="21"/>
              </w:rPr>
              <w:t>0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420" w:firstLineChars="200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3、上级专项资金</w:t>
            </w:r>
          </w:p>
        </w:tc>
        <w:tc>
          <w:tcPr>
            <w:tcW w:w="21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 w:cs="仿宋_GB2312"/>
                <w:kern w:val="0"/>
                <w:szCs w:val="21"/>
              </w:rPr>
              <w:t>0　</w:t>
            </w:r>
          </w:p>
        </w:tc>
        <w:tc>
          <w:tcPr>
            <w:tcW w:w="20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 w:cs="仿宋_GB2312"/>
                <w:kern w:val="0"/>
                <w:szCs w:val="21"/>
              </w:rPr>
              <w:t>0　</w:t>
            </w:r>
          </w:p>
        </w:tc>
        <w:tc>
          <w:tcPr>
            <w:tcW w:w="23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 w:cs="仿宋_GB2312"/>
                <w:kern w:val="0"/>
                <w:szCs w:val="21"/>
              </w:rPr>
              <w:t>0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420" w:firstLineChars="200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其中：××专项资金</w:t>
            </w:r>
          </w:p>
        </w:tc>
        <w:tc>
          <w:tcPr>
            <w:tcW w:w="21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 w:cs="仿宋_GB2312"/>
                <w:kern w:val="0"/>
                <w:szCs w:val="21"/>
              </w:rPr>
              <w:t>0</w:t>
            </w:r>
          </w:p>
        </w:tc>
        <w:tc>
          <w:tcPr>
            <w:tcW w:w="20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 w:cs="仿宋_GB2312"/>
                <w:kern w:val="0"/>
                <w:szCs w:val="21"/>
              </w:rPr>
              <w:t>0</w:t>
            </w:r>
          </w:p>
        </w:tc>
        <w:tc>
          <w:tcPr>
            <w:tcW w:w="23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 w:cs="仿宋_GB2312"/>
                <w:kern w:val="0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 xml:space="preserve">          ××专项资金</w:t>
            </w:r>
          </w:p>
        </w:tc>
        <w:tc>
          <w:tcPr>
            <w:tcW w:w="21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 w:cs="仿宋_GB2312"/>
                <w:kern w:val="0"/>
                <w:sz w:val="24"/>
              </w:rPr>
              <w:t>0</w:t>
            </w:r>
          </w:p>
        </w:tc>
        <w:tc>
          <w:tcPr>
            <w:tcW w:w="20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　</w:t>
            </w:r>
          </w:p>
        </w:tc>
        <w:tc>
          <w:tcPr>
            <w:tcW w:w="23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公用经费</w:t>
            </w:r>
          </w:p>
        </w:tc>
        <w:tc>
          <w:tcPr>
            <w:tcW w:w="21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eastAsia="仿宋_GB2312"/>
                <w:kern w:val="0"/>
                <w:szCs w:val="21"/>
              </w:rPr>
              <w:t>31.88</w:t>
            </w:r>
          </w:p>
        </w:tc>
        <w:tc>
          <w:tcPr>
            <w:tcW w:w="20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6.37</w:t>
            </w:r>
          </w:p>
        </w:tc>
        <w:tc>
          <w:tcPr>
            <w:tcW w:w="23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17.74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420" w:firstLineChars="200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其中：办公经费</w:t>
            </w:r>
          </w:p>
        </w:tc>
        <w:tc>
          <w:tcPr>
            <w:tcW w:w="21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eastAsia="仿宋_GB2312"/>
                <w:kern w:val="0"/>
                <w:szCs w:val="21"/>
              </w:rPr>
              <w:t>1.23</w:t>
            </w:r>
          </w:p>
        </w:tc>
        <w:tc>
          <w:tcPr>
            <w:tcW w:w="20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1.5</w:t>
            </w:r>
          </w:p>
        </w:tc>
        <w:tc>
          <w:tcPr>
            <w:tcW w:w="23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0.33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 xml:space="preserve">     水费、电费、差旅费</w:t>
            </w:r>
          </w:p>
        </w:tc>
        <w:tc>
          <w:tcPr>
            <w:tcW w:w="21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eastAsia="仿宋_GB2312"/>
                <w:kern w:val="0"/>
                <w:szCs w:val="21"/>
              </w:rPr>
              <w:t>0.46</w:t>
            </w:r>
          </w:p>
        </w:tc>
        <w:tc>
          <w:tcPr>
            <w:tcW w:w="20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0.7</w:t>
            </w:r>
          </w:p>
        </w:tc>
        <w:tc>
          <w:tcPr>
            <w:tcW w:w="23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 xml:space="preserve"> 会议费、培训费</w:t>
            </w:r>
          </w:p>
        </w:tc>
        <w:tc>
          <w:tcPr>
            <w:tcW w:w="21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eastAsia="仿宋_GB2312"/>
                <w:kern w:val="0"/>
                <w:szCs w:val="21"/>
              </w:rPr>
              <w:t>4.63</w:t>
            </w:r>
          </w:p>
        </w:tc>
        <w:tc>
          <w:tcPr>
            <w:tcW w:w="20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　</w:t>
            </w:r>
          </w:p>
        </w:tc>
        <w:tc>
          <w:tcPr>
            <w:tcW w:w="23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仿宋" w:hAnsi="仿宋" w:eastAsia="仿宋" w:cs="仿宋"/>
                <w:kern w:val="0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政府采购金额</w:t>
            </w:r>
          </w:p>
        </w:tc>
        <w:tc>
          <w:tcPr>
            <w:tcW w:w="21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 w:cs="仿宋_GB2312"/>
                <w:kern w:val="0"/>
                <w:szCs w:val="21"/>
              </w:rPr>
              <w:t>0</w:t>
            </w:r>
          </w:p>
        </w:tc>
        <w:tc>
          <w:tcPr>
            <w:tcW w:w="20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　</w:t>
            </w:r>
          </w:p>
        </w:tc>
        <w:tc>
          <w:tcPr>
            <w:tcW w:w="23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部门基本支出预算调整</w:t>
            </w:r>
          </w:p>
        </w:tc>
        <w:tc>
          <w:tcPr>
            <w:tcW w:w="21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 w:cs="仿宋_GB2312"/>
                <w:kern w:val="0"/>
                <w:sz w:val="24"/>
              </w:rPr>
              <w:t>0</w:t>
            </w:r>
          </w:p>
        </w:tc>
        <w:tc>
          <w:tcPr>
            <w:tcW w:w="20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23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354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楼堂馆所控制情况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（2022年完工项目）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 w:cs="仿宋_GB2312"/>
                <w:kern w:val="0"/>
                <w:szCs w:val="21"/>
              </w:rPr>
              <w:t>0　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实际规模（㎡）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规模控制率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预算投资（万元）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实际投资（万元）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投资概算控制率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　</w:t>
            </w: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　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　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0" w:hRule="atLeast"/>
          <w:jc w:val="center"/>
        </w:trPr>
        <w:tc>
          <w:tcPr>
            <w:tcW w:w="35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厉行节约保障措施</w:t>
            </w:r>
          </w:p>
        </w:tc>
        <w:tc>
          <w:tcPr>
            <w:tcW w:w="650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ind w:firstLine="315" w:firstLineChars="150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加强节俭，收紧办公经费开支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  <w:jc w:val="center"/>
        </w:trPr>
        <w:tc>
          <w:tcPr>
            <w:tcW w:w="1004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说明：“项目支出”需要填报基本支出以外的所有项目支出情况，“公用经费”填报基本支出中的一般商品和服务支出。</w:t>
            </w:r>
          </w:p>
          <w:p>
            <w:pPr>
              <w:spacing w:line="240" w:lineRule="exact"/>
              <w:ind w:firstLine="315" w:firstLineChars="150"/>
              <w:rPr>
                <w:rFonts w:ascii="仿宋" w:hAnsi="仿宋" w:eastAsia="仿宋" w:cs="仿宋"/>
                <w:kern w:val="0"/>
                <w:szCs w:val="21"/>
              </w:rPr>
            </w:pPr>
          </w:p>
        </w:tc>
      </w:tr>
    </w:tbl>
    <w:p>
      <w:pPr>
        <w:widowControl/>
        <w:spacing w:line="240" w:lineRule="exact"/>
        <w:jc w:val="left"/>
        <w:rPr>
          <w:rFonts w:eastAsia="仿宋_GB2312"/>
          <w:kern w:val="0"/>
          <w:szCs w:val="21"/>
        </w:rPr>
      </w:pPr>
    </w:p>
    <w:p>
      <w:pPr>
        <w:pStyle w:val="2"/>
        <w:widowControl/>
        <w:shd w:val="clear" w:color="auto" w:fill="FFFFFF"/>
        <w:spacing w:beforeAutospacing="0" w:afterAutospacing="0" w:line="480" w:lineRule="atLeast"/>
        <w:rPr>
          <w:rFonts w:ascii="微软雅黑" w:hAnsi="微软雅黑" w:eastAsia="微软雅黑" w:cs="微软雅黑"/>
          <w:color w:val="000000"/>
        </w:rPr>
      </w:pPr>
    </w:p>
    <w:p>
      <w:pPr>
        <w:spacing w:line="579" w:lineRule="exact"/>
        <w:rPr>
          <w:rFonts w:hint="eastAsia" w:ascii="黑体" w:hAnsi="黑体" w:eastAsia="黑体" w:cs="黑体"/>
          <w:color w:val="000000"/>
          <w:sz w:val="32"/>
          <w:szCs w:val="32"/>
        </w:rPr>
      </w:pPr>
    </w:p>
    <w:p>
      <w:pPr>
        <w:spacing w:line="579" w:lineRule="exact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附件1-2</w:t>
      </w:r>
    </w:p>
    <w:p>
      <w:pPr>
        <w:spacing w:line="740" w:lineRule="exact"/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2022年度部门整体支出绩效自评表</w:t>
      </w:r>
    </w:p>
    <w:tbl>
      <w:tblPr>
        <w:tblStyle w:val="3"/>
        <w:tblpPr w:leftFromText="180" w:rightFromText="180" w:vertAnchor="text" w:horzAnchor="page" w:tblpX="1485" w:tblpY="501"/>
        <w:tblOverlap w:val="never"/>
        <w:tblW w:w="1041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6"/>
        <w:gridCol w:w="851"/>
        <w:gridCol w:w="770"/>
        <w:gridCol w:w="1350"/>
        <w:gridCol w:w="253"/>
        <w:gridCol w:w="1487"/>
        <w:gridCol w:w="1635"/>
        <w:gridCol w:w="825"/>
        <w:gridCol w:w="1455"/>
        <w:gridCol w:w="107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  <w:t>单位名称</w:t>
            </w:r>
          </w:p>
        </w:tc>
        <w:tc>
          <w:tcPr>
            <w:tcW w:w="969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绥宁县青少年校外活动中心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1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  <w:t>年度预算申请（万元）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年初预算数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全年预算数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(A)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both"/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全年执行数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(B)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分值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执行率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(B/A)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16" w:type="dxa"/>
            <w:vMerge w:val="continue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年度资金总额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72.91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128.59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128.59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100%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7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71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按收入性质分：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128.59</w:t>
            </w:r>
          </w:p>
        </w:tc>
        <w:tc>
          <w:tcPr>
            <w:tcW w:w="498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按支出性质分：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128.59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71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ind w:firstLine="210" w:firstLineChars="100"/>
              <w:jc w:val="left"/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其中：一般公共预算：</w:t>
            </w:r>
            <w:r>
              <w:rPr>
                <w:rFonts w:hint="eastAsia" w:ascii="宋体" w:hAnsi="宋体" w:cs="宋体"/>
                <w:i w:val="0"/>
                <w:caps w:val="0"/>
                <w:color w:val="000000"/>
                <w:spacing w:val="0"/>
                <w:sz w:val="25"/>
                <w:szCs w:val="25"/>
                <w:lang w:val="en-US" w:eastAsia="zh-CN"/>
              </w:rPr>
              <w:t>113.86</w:t>
            </w:r>
          </w:p>
        </w:tc>
        <w:tc>
          <w:tcPr>
            <w:tcW w:w="498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ind w:firstLine="210" w:firstLineChars="100"/>
              <w:jc w:val="left"/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其中：基本支出：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128.59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71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ind w:firstLine="840" w:firstLineChars="40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政府性基金拨款：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98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ind w:firstLine="840" w:firstLineChars="40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项目支出：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71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ind w:firstLine="840" w:firstLineChars="40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纳入专户管理的非税收入拨款：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98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716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71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ind w:firstLine="840" w:firstLineChars="400"/>
              <w:jc w:val="left"/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其他资金：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14.73</w:t>
            </w:r>
          </w:p>
        </w:tc>
        <w:tc>
          <w:tcPr>
            <w:tcW w:w="498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71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  <w:t>年度总体目标</w:t>
            </w:r>
          </w:p>
        </w:tc>
        <w:tc>
          <w:tcPr>
            <w:tcW w:w="471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年初目标设定</w:t>
            </w:r>
          </w:p>
        </w:tc>
        <w:tc>
          <w:tcPr>
            <w:tcW w:w="498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全年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实际完成情况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0" w:hRule="atLeast"/>
        </w:trPr>
        <w:tc>
          <w:tcPr>
            <w:tcW w:w="7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71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完成各种竞赛活动，为青少年提供培训、锻炼、活动场所，提升青少年素质，教师完成课题或调研报告。</w:t>
            </w:r>
          </w:p>
        </w:tc>
        <w:tc>
          <w:tcPr>
            <w:tcW w:w="498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圆满完成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both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  <w:t>绩效</w:t>
            </w:r>
          </w:p>
          <w:p>
            <w:pPr>
              <w:widowControl/>
              <w:spacing w:line="220" w:lineRule="exact"/>
              <w:jc w:val="left"/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  <w:t>指标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（90分）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一级指标</w:t>
            </w:r>
          </w:p>
        </w:tc>
        <w:tc>
          <w:tcPr>
            <w:tcW w:w="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二级指标</w:t>
            </w:r>
          </w:p>
        </w:tc>
        <w:tc>
          <w:tcPr>
            <w:tcW w:w="16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三级指标</w:t>
            </w:r>
          </w:p>
        </w:tc>
        <w:tc>
          <w:tcPr>
            <w:tcW w:w="14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年度</w:t>
            </w:r>
          </w:p>
          <w:p>
            <w:pPr>
              <w:widowControl/>
              <w:spacing w:line="2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指标值</w:t>
            </w: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实际完成值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分值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得分</w:t>
            </w:r>
          </w:p>
        </w:tc>
        <w:tc>
          <w:tcPr>
            <w:tcW w:w="10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偏差原因</w:t>
            </w:r>
          </w:p>
          <w:p>
            <w:pPr>
              <w:widowControl/>
              <w:spacing w:line="2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分析及</w:t>
            </w:r>
          </w:p>
          <w:p>
            <w:pPr>
              <w:widowControl/>
              <w:spacing w:line="2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改进措施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atLeast"/>
        </w:trPr>
        <w:tc>
          <w:tcPr>
            <w:tcW w:w="7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产出指 标（50 分）</w:t>
            </w:r>
          </w:p>
        </w:tc>
        <w:tc>
          <w:tcPr>
            <w:tcW w:w="77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质量   指标</w:t>
            </w:r>
          </w:p>
        </w:tc>
        <w:tc>
          <w:tcPr>
            <w:tcW w:w="16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履职目标实现</w:t>
            </w:r>
          </w:p>
        </w:tc>
        <w:tc>
          <w:tcPr>
            <w:tcW w:w="14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发挥培训功能，开展10项以上的培训活动；组织学生参加各种竞赛；开展全县中小学德育基地建设工作。</w:t>
            </w: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ind w:firstLine="210" w:firstLineChars="100"/>
              <w:jc w:val="left"/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活动中心培训次数达12次，人数达130多人；组织学生多次参加省市各种竞赛并获奖。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25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23</w:t>
            </w:r>
          </w:p>
        </w:tc>
        <w:tc>
          <w:tcPr>
            <w:tcW w:w="10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eastAsia="zh-CN"/>
              </w:rPr>
              <w:t>继续加大培训力度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atLeast"/>
        </w:trPr>
        <w:tc>
          <w:tcPr>
            <w:tcW w:w="7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7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时效指标</w:t>
            </w:r>
          </w:p>
        </w:tc>
        <w:tc>
          <w:tcPr>
            <w:tcW w:w="16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重点工作任务完成</w:t>
            </w:r>
          </w:p>
          <w:p>
            <w:pPr>
              <w:widowControl/>
              <w:spacing w:line="2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4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spacing w:line="22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对外免费活动制度化、常态化、规范化，免费活动开放不少于5节；</w:t>
            </w:r>
          </w:p>
          <w:p>
            <w:pPr>
              <w:widowControl/>
              <w:numPr>
                <w:ilvl w:val="0"/>
                <w:numId w:val="0"/>
              </w:numPr>
              <w:spacing w:line="220" w:lineRule="exact"/>
              <w:jc w:val="left"/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2、职工听课、评课15节以上；</w:t>
            </w:r>
          </w:p>
          <w:p>
            <w:pPr>
              <w:widowControl/>
              <w:spacing w:line="22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3、每名教师完成一个课题或一篇调研报告；</w:t>
            </w:r>
          </w:p>
          <w:p>
            <w:pPr>
              <w:widowControl/>
              <w:spacing w:line="22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4、完成基层校外活动站建设。</w:t>
            </w:r>
          </w:p>
          <w:p>
            <w:pPr>
              <w:widowControl/>
              <w:spacing w:line="2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1、为青少年提供良好的学习、培训、活动环境。</w:t>
            </w:r>
          </w:p>
          <w:p>
            <w:pPr>
              <w:widowControl/>
              <w:spacing w:line="22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2、各开放、培训、竞赛活动均达到要求次数。3、每名教师都完成了工作任务。</w:t>
            </w:r>
          </w:p>
          <w:p>
            <w:pPr>
              <w:widowControl/>
              <w:spacing w:line="22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4、安全制度健全、措施得力、责任明确、无安全事故发生。</w:t>
            </w:r>
          </w:p>
          <w:p>
            <w:pPr>
              <w:widowControl/>
              <w:spacing w:line="22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25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23</w:t>
            </w:r>
          </w:p>
        </w:tc>
        <w:tc>
          <w:tcPr>
            <w:tcW w:w="10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提高</w:t>
            </w:r>
          </w:p>
          <w:p>
            <w:pPr>
              <w:widowControl/>
              <w:spacing w:line="22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工作</w:t>
            </w:r>
          </w:p>
          <w:p>
            <w:pPr>
              <w:widowControl/>
              <w:spacing w:line="220" w:lineRule="exact"/>
              <w:jc w:val="both"/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效率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0" w:hRule="atLeast"/>
        </w:trPr>
        <w:tc>
          <w:tcPr>
            <w:tcW w:w="716" w:type="dxa"/>
            <w:vMerge w:val="continue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效益指 标（30 分）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 xml:space="preserve"> </w:t>
            </w:r>
          </w:p>
          <w:p>
            <w:pPr>
              <w:widowControl/>
              <w:spacing w:line="2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可持续影响指标</w:t>
            </w:r>
          </w:p>
          <w:p>
            <w:pPr>
              <w:widowControl/>
              <w:spacing w:line="2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603" w:type="dxa"/>
            <w:gridSpan w:val="2"/>
            <w:tcBorders>
              <w:top w:val="single" w:color="000000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履职效益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1.提高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eastAsia="zh-CN"/>
              </w:rPr>
              <w:t>工作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质量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eastAsia="zh-CN"/>
              </w:rPr>
              <w:t>。</w:t>
            </w:r>
          </w:p>
          <w:p>
            <w:pPr>
              <w:spacing w:line="24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2.体现党政重教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eastAsia="zh-CN"/>
              </w:rPr>
              <w:t>。</w:t>
            </w:r>
          </w:p>
          <w:p>
            <w:pPr>
              <w:spacing w:line="24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3.提升政府形象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eastAsia="zh-CN"/>
              </w:rPr>
              <w:t>。</w:t>
            </w:r>
          </w:p>
          <w:p>
            <w:pPr>
              <w:spacing w:line="24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4.提高教师的工作积极性</w:t>
            </w:r>
          </w:p>
          <w:p>
            <w:pPr>
              <w:spacing w:line="240" w:lineRule="exact"/>
              <w:jc w:val="left"/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5.提升青少年综合素质。</w:t>
            </w:r>
          </w:p>
        </w:tc>
        <w:tc>
          <w:tcPr>
            <w:tcW w:w="1635" w:type="dxa"/>
            <w:tcBorders>
              <w:top w:val="single" w:color="000000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按时足额发放教职工工资，保证教师合法权益，提高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eastAsia="zh-CN"/>
              </w:rPr>
              <w:t>培训、活动、竞赛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质量，增强学生体质，落实中小学校各项安全管理，落实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eastAsia="zh-CN"/>
              </w:rPr>
              <w:t>县教育局交办的其他任务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。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30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27</w:t>
            </w:r>
          </w:p>
        </w:tc>
        <w:tc>
          <w:tcPr>
            <w:tcW w:w="1073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eastAsia="zh-CN"/>
              </w:rPr>
              <w:t>抓管理，强实效，出成绩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7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满意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度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指标（10分）</w:t>
            </w:r>
          </w:p>
        </w:tc>
        <w:tc>
          <w:tcPr>
            <w:tcW w:w="770" w:type="dxa"/>
            <w:tcBorders>
              <w:top w:val="single" w:color="000000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服务对象满意度指标</w:t>
            </w:r>
          </w:p>
        </w:tc>
        <w:tc>
          <w:tcPr>
            <w:tcW w:w="16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对社会公众或服务对象</w:t>
            </w:r>
          </w:p>
        </w:tc>
        <w:tc>
          <w:tcPr>
            <w:tcW w:w="14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90%以上</w:t>
            </w: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90%以上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0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706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总分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100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93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</w:tr>
    </w:tbl>
    <w:p>
      <w:pPr>
        <w:spacing w:line="579" w:lineRule="exact"/>
        <w:rPr>
          <w:rFonts w:hint="eastAsia" w:ascii="黑体" w:hAnsi="黑体" w:eastAsia="黑体" w:cs="黑体"/>
          <w:color w:val="000000"/>
          <w:sz w:val="32"/>
          <w:szCs w:val="32"/>
        </w:rPr>
      </w:pPr>
    </w:p>
    <w:p>
      <w:pPr>
        <w:pStyle w:val="2"/>
        <w:widowControl/>
        <w:shd w:val="clear" w:color="auto" w:fill="FFFFFF"/>
        <w:spacing w:beforeAutospacing="0" w:afterAutospacing="0" w:line="480" w:lineRule="atLeast"/>
        <w:ind w:left="960" w:hanging="960" w:hangingChars="400"/>
        <w:jc w:val="both"/>
        <w:rPr>
          <w:rFonts w:ascii="仿宋_GB2312" w:eastAsia="仿宋_GB2312" w:cs="仿宋_GB2312"/>
          <w:color w:val="000000"/>
          <w:shd w:val="clear" w:color="auto" w:fill="FFFFFF"/>
        </w:rPr>
      </w:pPr>
      <w:r>
        <w:rPr>
          <w:rFonts w:ascii="仿宋_GB2312" w:eastAsia="仿宋_GB2312" w:cs="仿宋_GB2312"/>
          <w:color w:val="000000"/>
          <w:shd w:val="clear" w:color="auto" w:fill="FFFFFF"/>
        </w:rPr>
        <w:t>说明：1.分值设定100分，其中预算执行率10分、产出指标50分、效益指</w:t>
      </w:r>
      <w:r>
        <w:rPr>
          <w:rFonts w:hint="eastAsia" w:ascii="仿宋_GB2312" w:eastAsia="仿宋_GB2312" w:cs="仿宋_GB2312"/>
          <w:color w:val="000000"/>
          <w:shd w:val="clear" w:color="auto" w:fill="FFFFFF"/>
          <w:lang w:eastAsia="zh-CN"/>
        </w:rPr>
        <w:t>标</w:t>
      </w:r>
      <w:r>
        <w:rPr>
          <w:rFonts w:ascii="仿宋_GB2312" w:eastAsia="仿宋_GB2312" w:cs="仿宋_GB2312"/>
          <w:color w:val="000000"/>
          <w:shd w:val="clear" w:color="auto" w:fill="FFFFFF"/>
        </w:rPr>
        <w:t>30分、满意度指标10分。除预算执行率外的指标应根据权重自行合理设定分值。</w:t>
      </w:r>
    </w:p>
    <w:p>
      <w:pPr>
        <w:pStyle w:val="2"/>
        <w:widowControl/>
        <w:shd w:val="clear" w:color="auto" w:fill="FFFFFF"/>
        <w:spacing w:beforeAutospacing="0" w:afterAutospacing="0" w:line="480" w:lineRule="atLeast"/>
        <w:ind w:left="960" w:hanging="960" w:hangingChars="400"/>
        <w:jc w:val="both"/>
        <w:rPr>
          <w:rFonts w:ascii="仿宋_GB2312" w:eastAsia="仿宋_GB2312" w:cs="仿宋_GB2312"/>
          <w:color w:val="000000"/>
        </w:rPr>
      </w:pPr>
      <w:r>
        <w:rPr>
          <w:rFonts w:ascii="仿宋_GB2312" w:eastAsia="仿宋_GB2312" w:cs="仿宋_GB2312"/>
          <w:color w:val="000000"/>
          <w:shd w:val="clear" w:color="auto" w:fill="FFFFFF"/>
        </w:rPr>
        <w:t>     </w:t>
      </w:r>
      <w:r>
        <w:rPr>
          <w:rFonts w:hint="eastAsia" w:ascii="仿宋_GB2312" w:eastAsia="仿宋_GB2312" w:cs="仿宋_GB2312"/>
          <w:color w:val="000000"/>
          <w:shd w:val="clear" w:color="auto" w:fill="FFFFFF"/>
        </w:rPr>
        <w:t xml:space="preserve">  </w:t>
      </w:r>
      <w:r>
        <w:rPr>
          <w:rFonts w:ascii="仿宋_GB2312" w:eastAsia="仿宋_GB2312" w:cs="仿宋_GB2312"/>
          <w:color w:val="000000"/>
          <w:shd w:val="clear" w:color="auto" w:fill="FFFFFF"/>
        </w:rPr>
        <w:t>2.综合评价等级分为优秀（</w:t>
      </w:r>
      <w:r>
        <w:rPr>
          <w:rFonts w:hint="eastAsia" w:ascii="仿宋_GB2312" w:eastAsia="仿宋_GB2312" w:cs="仿宋_GB2312"/>
          <w:color w:val="000000"/>
          <w:shd w:val="clear" w:color="auto" w:fill="FFFFFF"/>
        </w:rPr>
        <w:t>大于</w:t>
      </w:r>
      <w:r>
        <w:rPr>
          <w:rFonts w:ascii="仿宋_GB2312" w:eastAsia="仿宋_GB2312" w:cs="仿宋_GB2312"/>
          <w:color w:val="000000"/>
          <w:shd w:val="clear" w:color="auto" w:fill="FFFFFF"/>
        </w:rPr>
        <w:t>90</w:t>
      </w:r>
      <w:r>
        <w:rPr>
          <w:rFonts w:hint="eastAsia" w:ascii="仿宋_GB2312" w:eastAsia="仿宋_GB2312" w:cs="仿宋_GB2312"/>
          <w:color w:val="000000"/>
          <w:shd w:val="clear" w:color="auto" w:fill="FFFFFF"/>
        </w:rPr>
        <w:t>分</w:t>
      </w:r>
      <w:r>
        <w:rPr>
          <w:rFonts w:ascii="仿宋_GB2312" w:eastAsia="仿宋_GB2312" w:cs="仿宋_GB2312"/>
          <w:color w:val="000000"/>
          <w:shd w:val="clear" w:color="auto" w:fill="FFFFFF"/>
        </w:rPr>
        <w:t>）、良好（</w:t>
      </w:r>
      <w:r>
        <w:rPr>
          <w:rFonts w:hint="eastAsia" w:ascii="仿宋_GB2312" w:eastAsia="仿宋_GB2312" w:cs="仿宋_GB2312"/>
          <w:color w:val="000000"/>
          <w:shd w:val="clear" w:color="auto" w:fill="FFFFFF"/>
        </w:rPr>
        <w:t>80-90分</w:t>
      </w:r>
      <w:r>
        <w:rPr>
          <w:rFonts w:ascii="仿宋_GB2312" w:eastAsia="仿宋_GB2312" w:cs="仿宋_GB2312"/>
          <w:color w:val="000000"/>
          <w:shd w:val="clear" w:color="auto" w:fill="FFFFFF"/>
        </w:rPr>
        <w:t>）、较差（</w:t>
      </w:r>
      <w:r>
        <w:rPr>
          <w:rFonts w:hint="eastAsia" w:ascii="仿宋_GB2312" w:eastAsia="仿宋_GB2312" w:cs="仿宋_GB2312"/>
          <w:color w:val="000000"/>
          <w:shd w:val="clear" w:color="auto" w:fill="FFFFFF"/>
        </w:rPr>
        <w:t>60-80分</w:t>
      </w:r>
      <w:r>
        <w:rPr>
          <w:rFonts w:ascii="仿宋_GB2312" w:eastAsia="仿宋_GB2312" w:cs="仿宋_GB2312"/>
          <w:color w:val="000000"/>
          <w:shd w:val="clear" w:color="auto" w:fill="FFFFFF"/>
        </w:rPr>
        <w:t>）、 差（</w:t>
      </w:r>
      <w:r>
        <w:rPr>
          <w:rFonts w:hint="eastAsia" w:ascii="仿宋_GB2312" w:eastAsia="仿宋_GB2312" w:cs="仿宋_GB2312"/>
          <w:color w:val="000000"/>
          <w:shd w:val="clear" w:color="auto" w:fill="FFFFFF"/>
        </w:rPr>
        <w:t>小于60分</w:t>
      </w:r>
      <w:r>
        <w:rPr>
          <w:rFonts w:ascii="仿宋_GB2312" w:eastAsia="仿宋_GB2312" w:cs="仿宋_GB2312"/>
          <w:color w:val="000000"/>
          <w:shd w:val="clear" w:color="auto" w:fill="FFFFFF"/>
        </w:rPr>
        <w:t>）</w:t>
      </w:r>
      <w:r>
        <w:rPr>
          <w:rFonts w:ascii="Calibri" w:hAnsi="Calibri" w:eastAsia="仿宋_GB2312" w:cs="Calibri"/>
          <w:color w:val="000000"/>
          <w:shd w:val="clear" w:color="auto" w:fill="FFFFFF"/>
        </w:rPr>
        <w:t>。</w:t>
      </w:r>
    </w:p>
    <w:p>
      <w:pPr>
        <w:pStyle w:val="2"/>
        <w:widowControl/>
        <w:shd w:val="clear" w:color="auto" w:fill="FFFFFF"/>
        <w:spacing w:beforeAutospacing="0" w:afterAutospacing="0" w:line="480" w:lineRule="atLeast"/>
        <w:jc w:val="both"/>
        <w:rPr>
          <w:rFonts w:ascii="仿宋_GB2312" w:eastAsia="仿宋_GB2312" w:cs="仿宋_GB2312"/>
          <w:color w:val="000000"/>
        </w:rPr>
      </w:pPr>
      <w:r>
        <w:rPr>
          <w:rFonts w:ascii="仿宋_GB2312" w:eastAsia="仿宋_GB2312" w:cs="仿宋_GB2312"/>
          <w:color w:val="000000"/>
          <w:shd w:val="clear" w:color="auto" w:fill="FFFFFF"/>
        </w:rPr>
        <w:t>     </w:t>
      </w:r>
      <w:r>
        <w:rPr>
          <w:rFonts w:hint="eastAsia" w:ascii="仿宋_GB2312" w:eastAsia="仿宋_GB2312" w:cs="仿宋_GB2312"/>
          <w:color w:val="000000"/>
          <w:shd w:val="clear" w:color="auto" w:fill="FFFFFF"/>
        </w:rPr>
        <w:t xml:space="preserve">  </w:t>
      </w:r>
      <w:r>
        <w:rPr>
          <w:rFonts w:ascii="仿宋_GB2312" w:eastAsia="仿宋_GB2312" w:cs="仿宋_GB2312"/>
          <w:color w:val="000000"/>
          <w:shd w:val="clear" w:color="auto" w:fill="FFFFFF"/>
        </w:rPr>
        <w:t>3.三级绩效指标按需自行增减行。个别不涉及的二级指标可删除不要。</w:t>
      </w:r>
    </w:p>
    <w:p>
      <w:pPr>
        <w:pStyle w:val="2"/>
        <w:widowControl/>
        <w:shd w:val="clear" w:color="auto" w:fill="FFFFFF"/>
        <w:spacing w:beforeAutospacing="0" w:afterAutospacing="0" w:line="480" w:lineRule="atLeast"/>
        <w:rPr>
          <w:rFonts w:ascii="微软雅黑" w:hAnsi="微软雅黑" w:eastAsia="微软雅黑" w:cs="微软雅黑"/>
          <w:color w:val="000000"/>
        </w:rPr>
      </w:pPr>
    </w:p>
    <w:p>
      <w:pPr>
        <w:pStyle w:val="2"/>
        <w:widowControl/>
        <w:shd w:val="clear" w:color="auto" w:fill="FFFFFF"/>
        <w:spacing w:before="62" w:beforeAutospacing="0" w:afterAutospacing="0" w:line="480" w:lineRule="atLeast"/>
        <w:jc w:val="both"/>
        <w:rPr>
          <w:color w:val="000000"/>
        </w:rPr>
      </w:pPr>
    </w:p>
    <w:p>
      <w:pPr>
        <w:pStyle w:val="2"/>
        <w:widowControl/>
        <w:shd w:val="clear" w:color="auto" w:fill="FFFFFF"/>
        <w:spacing w:before="62" w:beforeAutospacing="0" w:afterAutospacing="0" w:line="480" w:lineRule="atLeast"/>
        <w:jc w:val="both"/>
        <w:rPr>
          <w:rFonts w:ascii="仿宋_GB2312" w:eastAsia="仿宋_GB2312" w:cs="仿宋_GB2312"/>
          <w:color w:val="000000"/>
          <w:shd w:val="clear" w:color="auto" w:fill="FFFFFF"/>
        </w:rPr>
      </w:pPr>
    </w:p>
    <w:p>
      <w:pPr>
        <w:pStyle w:val="2"/>
        <w:widowControl/>
        <w:shd w:val="clear" w:color="auto" w:fill="FFFFFF"/>
        <w:spacing w:before="62" w:beforeAutospacing="0" w:afterAutospacing="0" w:line="480" w:lineRule="atLeast"/>
        <w:jc w:val="both"/>
        <w:rPr>
          <w:rFonts w:ascii="仿宋_GB2312" w:eastAsia="仿宋_GB2312" w:cs="仿宋_GB2312"/>
          <w:color w:val="000000"/>
          <w:shd w:val="clear" w:color="auto" w:fill="FFFFFF"/>
        </w:rPr>
      </w:pPr>
    </w:p>
    <w:p>
      <w:pPr>
        <w:pStyle w:val="2"/>
        <w:widowControl/>
        <w:shd w:val="clear" w:color="auto" w:fill="FFFFFF"/>
        <w:spacing w:before="62" w:beforeAutospacing="0" w:afterAutospacing="0" w:line="480" w:lineRule="atLeast"/>
        <w:jc w:val="both"/>
        <w:rPr>
          <w:rFonts w:ascii="仿宋_GB2312" w:eastAsia="仿宋_GB2312" w:cs="仿宋_GB2312"/>
          <w:color w:val="000000"/>
          <w:shd w:val="clear" w:color="auto" w:fill="FFFFFF"/>
        </w:rPr>
      </w:pPr>
    </w:p>
    <w:p>
      <w:pPr>
        <w:pStyle w:val="2"/>
        <w:widowControl/>
        <w:shd w:val="clear" w:color="auto" w:fill="FFFFFF"/>
        <w:spacing w:before="62" w:beforeAutospacing="0" w:afterAutospacing="0" w:line="480" w:lineRule="atLeast"/>
        <w:jc w:val="both"/>
        <w:rPr>
          <w:rFonts w:ascii="仿宋_GB2312" w:eastAsia="仿宋_GB2312" w:cs="仿宋_GB2312"/>
          <w:color w:val="000000"/>
          <w:shd w:val="clear" w:color="auto" w:fill="FFFFFF"/>
        </w:rPr>
      </w:pPr>
    </w:p>
    <w:p>
      <w:pPr>
        <w:pStyle w:val="2"/>
        <w:widowControl/>
        <w:shd w:val="clear" w:color="auto" w:fill="FFFFFF"/>
        <w:spacing w:before="62" w:beforeAutospacing="0" w:afterAutospacing="0" w:line="480" w:lineRule="atLeast"/>
        <w:jc w:val="both"/>
        <w:rPr>
          <w:rFonts w:ascii="仿宋_GB2312" w:eastAsia="仿宋_GB2312" w:cs="仿宋_GB2312"/>
          <w:color w:val="000000"/>
          <w:shd w:val="clear" w:color="auto" w:fill="FFFFFF"/>
        </w:rPr>
      </w:pPr>
    </w:p>
    <w:p>
      <w:pPr>
        <w:pStyle w:val="2"/>
        <w:widowControl/>
        <w:shd w:val="clear" w:color="auto" w:fill="FFFFFF"/>
        <w:spacing w:before="62" w:beforeAutospacing="0" w:afterAutospacing="0" w:line="480" w:lineRule="atLeast"/>
        <w:jc w:val="both"/>
        <w:rPr>
          <w:rFonts w:ascii="仿宋_GB2312" w:eastAsia="仿宋_GB2312" w:cs="仿宋_GB2312"/>
          <w:color w:val="000000"/>
          <w:shd w:val="clear" w:color="auto" w:fill="FFFFFF"/>
        </w:rPr>
      </w:pPr>
    </w:p>
    <w:p>
      <w:pPr>
        <w:pStyle w:val="2"/>
        <w:widowControl/>
        <w:shd w:val="clear" w:color="auto" w:fill="FFFFFF"/>
        <w:spacing w:beforeAutospacing="0" w:afterAutospacing="0" w:line="480" w:lineRule="atLeast"/>
        <w:jc w:val="both"/>
        <w:rPr>
          <w:rFonts w:ascii="黑体" w:hAnsi="黑体" w:eastAsia="黑体" w:cs="黑体"/>
          <w:color w:val="000000"/>
          <w:sz w:val="32"/>
          <w:szCs w:val="32"/>
          <w:shd w:val="clear" w:color="auto" w:fill="FFFFFF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5BAC7FA"/>
    <w:multiLevelType w:val="singleLevel"/>
    <w:tmpl w:val="35BAC7FA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6DD6DCE7"/>
    <w:multiLevelType w:val="singleLevel"/>
    <w:tmpl w:val="6DD6DCE7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I0MmYzOWI2N2Y5MTAyZTkwZjhkYWQyMTUwMzcwNjEifQ=="/>
  </w:docVars>
  <w:rsids>
    <w:rsidRoot w:val="00A34FEF"/>
    <w:rsid w:val="00212565"/>
    <w:rsid w:val="008D5CE1"/>
    <w:rsid w:val="00A34FEF"/>
    <w:rsid w:val="00AD6A00"/>
    <w:rsid w:val="00EA3FF1"/>
    <w:rsid w:val="00F8057A"/>
    <w:rsid w:val="024273EE"/>
    <w:rsid w:val="03867C0B"/>
    <w:rsid w:val="1722705B"/>
    <w:rsid w:val="199F102C"/>
    <w:rsid w:val="1B3A2F9D"/>
    <w:rsid w:val="1F722070"/>
    <w:rsid w:val="2D204617"/>
    <w:rsid w:val="2F8806A9"/>
    <w:rsid w:val="318C5A93"/>
    <w:rsid w:val="4AC747D7"/>
    <w:rsid w:val="4FFD4D57"/>
    <w:rsid w:val="50541A6B"/>
    <w:rsid w:val="536F03A8"/>
    <w:rsid w:val="5B6A1900"/>
    <w:rsid w:val="5C136D9B"/>
    <w:rsid w:val="620767AB"/>
    <w:rsid w:val="6F1162A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3636</Words>
  <Characters>3869</Characters>
  <Lines>16</Lines>
  <Paragraphs>4</Paragraphs>
  <TotalTime>70</TotalTime>
  <ScaleCrop>false</ScaleCrop>
  <LinksUpToDate>false</LinksUpToDate>
  <CharactersWithSpaces>3954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2023-08-22T02:49:00Z</dcterms:created>
  <dc:creator>Administrator</dc:creator>
  <cp:lastModifiedBy>Administrator</cp:lastModifiedBy>
  <cp:lastPrinted>2023-09-02T04:43:00Z</cp:lastPrinted>
  <dcterms:modified xsi:type="dcterms:W3CDTF">2023-09-07T01:08:26Z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BB1F12E1A20741DE9445E27C1ADFC970_13</vt:lpwstr>
  </property>
</Properties>
</file>