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0795E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 w14:paraId="4BB385CD"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</w:rPr>
        <w:t>绥宁县</w:t>
      </w:r>
      <w:r>
        <w:rPr>
          <w:rFonts w:hint="eastAsia" w:ascii="黑体" w:hAnsi="黑体" w:eastAsia="黑体" w:cs="楷体"/>
          <w:b/>
          <w:color w:val="000000"/>
          <w:sz w:val="32"/>
          <w:szCs w:val="32"/>
        </w:rPr>
        <w:t>卫生差额单位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年度部门整体支出绩效自评报告</w:t>
      </w:r>
    </w:p>
    <w:p w14:paraId="2F364F36"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5B687452">
      <w:pPr>
        <w:widowControl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为进一步规范和加强预算资金管理，提高财政资金使用绩效，根据县财政局《关于开展202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年度财政支出绩效自评工作的通知》（绥财绩〔202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号）相关要求，我部门对部门整体支出情况实施了绩效自评，现将自评情况报告如下：</w:t>
      </w:r>
    </w:p>
    <w:p w14:paraId="10009635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一、部门基本情况</w:t>
      </w:r>
    </w:p>
    <w:p w14:paraId="204397BB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 w14:paraId="4D20EA87">
      <w:pPr>
        <w:widowControl/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/>
          <w:kern w:val="0"/>
          <w:sz w:val="32"/>
          <w:szCs w:val="32"/>
        </w:rPr>
        <w:t>主要职能是以公共卫生服务为主，综合提供预防、保健和基本医疗等职能，向辖区居民提供基本医疗服务和公共卫生服务。</w:t>
      </w:r>
    </w:p>
    <w:p w14:paraId="70F3AF19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 w14:paraId="3E6D577A">
      <w:pPr>
        <w:pStyle w:val="4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年末，我部门所属事业单位2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个。</w:t>
      </w:r>
    </w:p>
    <w:p w14:paraId="1E4BADCA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Arial" w:hAnsi="Arial" w:eastAsia="楷体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所属事业单位分别是：</w:t>
      </w:r>
      <w:r>
        <w:rPr>
          <w:rFonts w:hint="eastAsia" w:ascii="仿宋" w:hAnsi="仿宋" w:eastAsia="仿宋"/>
          <w:sz w:val="32"/>
          <w:szCs w:val="32"/>
        </w:rPr>
        <w:t>绥宁县人民医院、绥宁县中医医院、武阳、李西、瓦屋、寨市、东山、河口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个中心卫生院，长铺乡、长铺镇、关峡、唐家坊、白玉、红岩、黄土矿、水口、金屋、党坪、竹舟江、麻</w:t>
      </w:r>
      <w:r>
        <w:rPr>
          <w:rFonts w:hint="eastAsia" w:ascii="仿宋" w:hAnsi="仿宋" w:eastAsia="仿宋"/>
          <w:sz w:val="32"/>
          <w:szCs w:val="32"/>
          <w:lang w:eastAsia="zh-CN"/>
        </w:rPr>
        <w:t>塘</w:t>
      </w:r>
      <w:r>
        <w:rPr>
          <w:rFonts w:hint="eastAsia" w:ascii="仿宋" w:hAnsi="仿宋" w:eastAsia="仿宋"/>
          <w:sz w:val="32"/>
          <w:szCs w:val="32"/>
        </w:rPr>
        <w:t>、枫木团、联民、乐安、朝仪、黄桑、鹅公、梅坪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</w:rPr>
        <w:t>个乡镇卫生院。</w:t>
      </w:r>
    </w:p>
    <w:p w14:paraId="1AF54CD3">
      <w:pPr>
        <w:pStyle w:val="4"/>
        <w:shd w:val="clear" w:color="auto" w:fill="FFFFFF"/>
        <w:spacing w:beforeAutospacing="0" w:afterAutospacing="0" w:line="480" w:lineRule="atLeast"/>
        <w:ind w:left="641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 w14:paraId="3730E1BF">
      <w:pPr>
        <w:pStyle w:val="4"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年末，我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共有编制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1111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人，其中行政编制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人，事业编制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1111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人。年末实有在职人员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1433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其中乡镇卫生院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402人，人民医院726人，中医院305人，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退休人员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446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离休人员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</w:t>
      </w:r>
    </w:p>
    <w:p w14:paraId="13D713A5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二、一般公共预算支出情况</w:t>
      </w:r>
    </w:p>
    <w:p w14:paraId="557917E4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 w14:paraId="3EDFE63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3</w:t>
      </w:r>
      <w:r>
        <w:rPr>
          <w:rFonts w:eastAsia="仿宋_GB2312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7027.23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6646.94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，公用经费支出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380.29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。</w:t>
      </w:r>
    </w:p>
    <w:p w14:paraId="6CC218C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1.人员经费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6646.94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 w14:paraId="3CF2B51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公用经费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380.29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 w14:paraId="6D1CD934">
      <w:pPr>
        <w:pStyle w:val="4"/>
        <w:widowControl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 w14:paraId="17D4AA3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年项目支出共计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5418.44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，主要用于中医院整体搬迁项目、村卫生室门诊统筹医保定点设备购置、医疗服务能力提升等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 w14:paraId="38C7558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1、中医院整体搬迁项目资金2603.15万元。</w:t>
      </w:r>
      <w:r>
        <w:rPr>
          <w:rFonts w:hint="eastAsia" w:ascii="仿宋" w:hAnsi="仿宋" w:eastAsia="仿宋" w:cs="仿宋"/>
          <w:b w:val="0"/>
          <w:bCs w:val="0"/>
          <w:color w:val="0C0C0C"/>
          <w:sz w:val="32"/>
          <w:szCs w:val="32"/>
          <w:lang w:val="en-US" w:eastAsia="zh-CN"/>
        </w:rPr>
        <w:t>主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要用于中医院整体搬迁基础建设项目。</w:t>
      </w:r>
    </w:p>
    <w:p w14:paraId="563657F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eastAsia="zh-CN"/>
        </w:rPr>
        <w:t>村卫生室门诊统筹医保定点设备购置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95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  <w:r>
        <w:rPr>
          <w:rFonts w:ascii="仿宋" w:hAnsi="仿宋" w:eastAsia="仿宋" w:cs="仿宋"/>
          <w:color w:val="0C0C0C"/>
          <w:sz w:val="32"/>
          <w:szCs w:val="32"/>
        </w:rPr>
        <w:t>主要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村卫生室开通门诊统筹医保定点所需设备购置</w:t>
      </w:r>
      <w:r>
        <w:rPr>
          <w:rFonts w:ascii="仿宋" w:hAnsi="仿宋" w:eastAsia="仿宋" w:cs="仿宋"/>
          <w:color w:val="0C0C0C"/>
          <w:sz w:val="32"/>
          <w:szCs w:val="32"/>
        </w:rPr>
        <w:t>。</w:t>
      </w:r>
    </w:p>
    <w:p w14:paraId="23A71F1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eastAsia="zh-CN"/>
        </w:rPr>
        <w:t>医医疗服务能力提升资金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288.36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  <w:r>
        <w:rPr>
          <w:rFonts w:ascii="仿宋" w:hAnsi="仿宋" w:eastAsia="仿宋" w:cs="仿宋"/>
          <w:color w:val="0C0C0C"/>
          <w:sz w:val="32"/>
          <w:szCs w:val="32"/>
        </w:rPr>
        <w:t>主要用于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中医院、人民医院特色医疗科室设备采购及乡镇卫生院全科门诊、慢病门诊、数字化预防接种门诊、业务用房修缮等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 w14:paraId="4F72FBF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4.基本公共卫生服务补助资金2305.84万元。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主要用于国家十二项基本公共卫生服务支出。</w:t>
      </w:r>
    </w:p>
    <w:p w14:paraId="54262856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三、政府性基金预算支出情况</w:t>
      </w:r>
    </w:p>
    <w:p w14:paraId="5672D87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政府性基金预算支出。</w:t>
      </w:r>
    </w:p>
    <w:p w14:paraId="6E4145D9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 w14:paraId="5892BBC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国有资本经营预算支出。</w:t>
      </w:r>
    </w:p>
    <w:p w14:paraId="26949FD3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 w14:paraId="59179041"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社会保险基金预算支出。</w:t>
      </w:r>
    </w:p>
    <w:p w14:paraId="76AF1F1A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 w14:paraId="2DEEF0C3">
      <w:pPr>
        <w:pStyle w:val="4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ascii="仿宋" w:hAnsi="仿宋" w:eastAsia="仿宋" w:cs="仿宋"/>
          <w:color w:val="0C0C0C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年，在县委、县政府的领导下，坚持依法行政、执法为民，稳中求进，改革创新，积极作为，突出抓改革强监管促发展，各方面工作稳步推进。根据部门整体支出绩效自评评分（详见附件2），得分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分，部门整体支出绩效为“良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eastAsia="zh-CN"/>
        </w:rPr>
        <w:t>好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”。主要绩效如下：</w:t>
      </w:r>
    </w:p>
    <w:p w14:paraId="01F97AA7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成绩一：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构建了县域整合性医疗卫生服务体系。</w:t>
      </w:r>
    </w:p>
    <w:p w14:paraId="4657C133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成绩二：</w:t>
      </w:r>
      <w:r>
        <w:rPr>
          <w:rFonts w:hint="eastAsia" w:ascii="仿宋" w:hAnsi="仿宋" w:eastAsia="仿宋"/>
          <w:sz w:val="32"/>
          <w:szCs w:val="32"/>
        </w:rPr>
        <w:t>钱随事走，绩效考核，专款专用。建立上下协调、部门联动、层层抓落实的工作职责，将绩效管理责任分解落实到具体项目单位、明确到具体责任人，确保每一笔资金花得安全、用得高效</w:t>
      </w:r>
    </w:p>
    <w:p w14:paraId="520278FB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成绩三：</w:t>
      </w:r>
      <w:r>
        <w:rPr>
          <w:rFonts w:hint="eastAsia" w:ascii="仿宋" w:hAnsi="仿宋" w:eastAsia="仿宋"/>
          <w:color w:val="555555"/>
          <w:sz w:val="32"/>
          <w:szCs w:val="32"/>
        </w:rPr>
        <w:t>加强绩效监督问责机制。完善绩效目标、绩效监控、绩效评价、结果应用等管理流程，大力推进绩效信息公开，自觉接受社会监督。促进形成全社会“讲绩效、用绩效、比绩效”的良好氛围。提高财政资源配置效率和资金使用效益，做到“花钱必问效、无效必追责”。</w:t>
      </w:r>
    </w:p>
    <w:p w14:paraId="265CD593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 w14:paraId="75ABDF86">
      <w:pPr>
        <w:pStyle w:val="4"/>
        <w:widowControl/>
        <w:shd w:val="clear" w:color="auto" w:fill="FFFFFF"/>
        <w:spacing w:beforeAutospacing="0" w:afterAutospacing="0" w:line="480" w:lineRule="atLeast"/>
        <w:ind w:left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（一）问题一：</w:t>
      </w:r>
      <w:r>
        <w:rPr>
          <w:rFonts w:hint="eastAsia" w:ascii="仿宋" w:hAnsi="仿宋" w:eastAsia="仿宋" w:cs="仿宋"/>
          <w:sz w:val="32"/>
          <w:szCs w:val="32"/>
        </w:rPr>
        <w:t>过分强调公共卫生工作，导致卫生院精力分散，医疗业务能力下降。公共卫生工作很重要，加强公共卫生能力建设也应该。但是当前公共卫生工作占用了卫生院很大部分精力、财力和人力。大量的时间花在了居民健康体检、建立居民健康档案、开展慢性病（糖尿病、高血压、精神病）管理等三大类十二项指标的落实及考核。另外还要承担健康扶贫等事务性工作。</w:t>
      </w:r>
    </w:p>
    <w:p w14:paraId="0BFE0EEC">
      <w:pPr>
        <w:pStyle w:val="4"/>
        <w:widowControl/>
        <w:shd w:val="clear" w:color="auto" w:fill="FFFFFF"/>
        <w:spacing w:beforeAutospacing="0" w:afterAutospacing="0" w:line="480" w:lineRule="atLeast"/>
        <w:ind w:left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（二）问题二：</w:t>
      </w:r>
      <w:r>
        <w:rPr>
          <w:rFonts w:hint="eastAsia" w:ascii="仿宋" w:hAnsi="仿宋" w:eastAsia="仿宋" w:cs="仿宋"/>
          <w:sz w:val="32"/>
          <w:szCs w:val="32"/>
        </w:rPr>
        <w:t>基本药物制度的实施，更是让乡镇卫生院业务雪上加霜。基本药物制度本意是为了规范基层用药，降低老百姓的用药负担，有效缓解看病难、看病贵的问题。但是基本药物目录不全，卫生院能看的病却没有药，使得大量不应该流出的病人不得不涌入县市级大医院，造成了小病大治，增加了老百姓的负担，也浪费了医保基金。</w:t>
      </w:r>
    </w:p>
    <w:p w14:paraId="1461EEE8"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八、下一步改进措施</w:t>
      </w:r>
    </w:p>
    <w:p w14:paraId="268A56A5">
      <w:pPr>
        <w:widowControl/>
        <w:rPr>
          <w:kern w:val="0"/>
          <w:szCs w:val="21"/>
        </w:rPr>
      </w:pPr>
      <w:r>
        <w:rPr>
          <w:rFonts w:hint="eastAsia" w:ascii="仿宋" w:hAnsi="仿宋" w:eastAsia="仿宋"/>
          <w:color w:val="010101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color w:val="555555"/>
          <w:kern w:val="0"/>
          <w:sz w:val="32"/>
          <w:szCs w:val="32"/>
        </w:rPr>
        <w:t>加大投入力度，提升乡镇卫生院的服务能力，增加乡镇卫生院专业技术人员的待遇，使乡镇卫生院卫技人员能安心在基层工作。</w:t>
      </w:r>
    </w:p>
    <w:p w14:paraId="1E797EE3">
      <w:pPr>
        <w:pStyle w:val="4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　 </w:t>
      </w:r>
      <w:r>
        <w:rPr>
          <w:rFonts w:ascii="宋体" w:cs="宋体"/>
          <w:color w:val="010101"/>
          <w:sz w:val="32"/>
          <w:szCs w:val="32"/>
        </w:rPr>
        <w:t> </w:t>
      </w:r>
      <w:r>
        <w:rPr>
          <w:rFonts w:hint="eastAsia" w:ascii="仿宋" w:hAnsi="仿宋" w:eastAsia="仿宋"/>
          <w:color w:val="010101"/>
          <w:sz w:val="32"/>
          <w:szCs w:val="32"/>
        </w:rPr>
        <w:t>二、加大项目资金的本级财政配套和保障力度，确保项目的监督和督查工作有效开展，确保项目工作有力推进。</w:t>
      </w:r>
    </w:p>
    <w:p w14:paraId="18D1A8BB">
      <w:pPr>
        <w:pStyle w:val="4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附件：1.部门整体支出绩效评价基础数据表</w:t>
      </w:r>
    </w:p>
    <w:p w14:paraId="0F91BE95">
      <w:pPr>
        <w:pStyle w:val="4"/>
        <w:widowControl/>
        <w:shd w:val="clear" w:color="auto" w:fill="FFFFFF"/>
        <w:spacing w:beforeAutospacing="0" w:afterAutospacing="0" w:line="480" w:lineRule="atLeast"/>
        <w:ind w:firstLine="1609" w:firstLineChars="503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2.部门整体支出绩效自评表</w:t>
      </w:r>
    </w:p>
    <w:p w14:paraId="7E7113F5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 w14:paraId="3E04E30B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 w14:paraId="4D1EC9C3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 w14:paraId="796A7C38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 w14:paraId="4FE00B1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 w14:paraId="51199254">
      <w:pPr>
        <w:pStyle w:val="4"/>
        <w:widowControl/>
        <w:shd w:val="clear" w:color="auto" w:fill="FFFFFF"/>
        <w:spacing w:beforeAutospacing="0" w:afterAutospacing="0" w:line="480" w:lineRule="atLeast"/>
        <w:ind w:firstLine="980" w:firstLineChars="350"/>
        <w:jc w:val="both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年度部门整体支出绩效评价基础数据表</w:t>
      </w:r>
    </w:p>
    <w:p w14:paraId="565AB6E8">
      <w:pPr>
        <w:spacing w:line="200" w:lineRule="exact"/>
        <w:jc w:val="center"/>
        <w:rPr>
          <w:rFonts w:eastAsia="方正小标宋_GBK"/>
          <w:sz w:val="44"/>
        </w:rPr>
      </w:pPr>
    </w:p>
    <w:p w14:paraId="5F2B7EAB">
      <w:pPr>
        <w:widowControl/>
        <w:spacing w:line="240" w:lineRule="exact"/>
        <w:jc w:val="left"/>
        <w:rPr>
          <w:rFonts w:eastAsia="仿宋_GB2312"/>
          <w:kern w:val="0"/>
          <w:szCs w:val="21"/>
        </w:rPr>
      </w:pPr>
    </w:p>
    <w:tbl>
      <w:tblPr>
        <w:tblStyle w:val="5"/>
        <w:tblW w:w="83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900"/>
        <w:gridCol w:w="788"/>
        <w:gridCol w:w="1027"/>
        <w:gridCol w:w="870"/>
        <w:gridCol w:w="1875"/>
        <w:gridCol w:w="1800"/>
      </w:tblGrid>
      <w:tr w14:paraId="251FB0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0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财政供养人员情况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4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编制数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2023年实际在职人数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4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控制率</w:t>
            </w:r>
          </w:p>
        </w:tc>
      </w:tr>
      <w:tr w14:paraId="06C84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019D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3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B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128.98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1146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7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经费控制情况(万元)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4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2022年决算数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2023年预算数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3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2023年决算数</w:t>
            </w:r>
          </w:p>
        </w:tc>
      </w:tr>
      <w:tr w14:paraId="6A0B8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7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6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104.23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5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B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84.11</w:t>
            </w:r>
          </w:p>
        </w:tc>
      </w:tr>
      <w:tr w14:paraId="742C1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9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1、公务用车购置和维护经费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90.47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72.96</w:t>
            </w:r>
          </w:p>
        </w:tc>
      </w:tr>
      <w:tr w14:paraId="146E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F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其中：公车购置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A88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022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7BC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23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E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公车运行维护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90.47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2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72.96</w:t>
            </w:r>
          </w:p>
        </w:tc>
      </w:tr>
      <w:tr w14:paraId="2FF6E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2、出国经费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D59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17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BDD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D8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3、公务接待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13.76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0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2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11.15</w:t>
            </w:r>
          </w:p>
        </w:tc>
      </w:tr>
      <w:tr w14:paraId="13595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3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0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2E4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E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1、业务工作经费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E5F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303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3CB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60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9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2、运行维护经费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B0C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10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16A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67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1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3、本级专项资金（一个专项一行）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598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E50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68E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5F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9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E43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1B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462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66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9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其中：办公经费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F0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4F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474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6F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F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水费、电费、差旅费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B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141.64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A0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D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42.04</w:t>
            </w:r>
          </w:p>
        </w:tc>
      </w:tr>
      <w:tr w14:paraId="1E671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6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会议费、培训费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F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37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C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217.2</w:t>
            </w:r>
          </w:p>
        </w:tc>
      </w:tr>
      <w:tr w14:paraId="20A9C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C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1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A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</w:tr>
      <w:tr w14:paraId="76BE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9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部门基本支出预算调整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4DE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EE1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878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21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C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楼堂馆所控制情况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（2023年完工项目）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5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批复规模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1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实际规模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E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规模控制率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9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预算投资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5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实际投资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投资概算控制率</w:t>
            </w:r>
          </w:p>
        </w:tc>
      </w:tr>
      <w:tr w14:paraId="5BB0A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6DB6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F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7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CD3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4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7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C67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29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厉行节约保障措施</w:t>
            </w:r>
          </w:p>
        </w:tc>
        <w:tc>
          <w:tcPr>
            <w:tcW w:w="7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预算决算及“三公”经费网上公开，接受社会监督；有“三公”经费管理制度；印发&lt;关于进一步加强党风廉政建设工作的意见&gt;　文件</w:t>
            </w:r>
          </w:p>
        </w:tc>
      </w:tr>
    </w:tbl>
    <w:p w14:paraId="08B05C7A">
      <w:pPr>
        <w:pStyle w:val="4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 w14:paraId="6ABC3BA2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宋体" w:hAnsi="宋体" w:cs="宋体"/>
          <w:color w:val="000000"/>
        </w:rPr>
      </w:pPr>
    </w:p>
    <w:p w14:paraId="2B21CF7A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7BB47D9A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3B357AC8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2A4C083C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 w14:paraId="3A696648">
      <w:pPr>
        <w:spacing w:line="300" w:lineRule="exact"/>
        <w:rPr>
          <w:rFonts w:eastAsia="黑体"/>
          <w:color w:val="000000"/>
          <w:sz w:val="32"/>
          <w:szCs w:val="32"/>
        </w:rPr>
      </w:pPr>
    </w:p>
    <w:p w14:paraId="1B91C59F">
      <w:pPr>
        <w:spacing w:line="7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年度部门整体支出绩效自评表</w:t>
      </w:r>
    </w:p>
    <w:p w14:paraId="333DA249">
      <w:pPr>
        <w:spacing w:line="300" w:lineRule="exact"/>
        <w:jc w:val="center"/>
        <w:rPr>
          <w:rFonts w:eastAsia="方正小标宋_GBK"/>
          <w:sz w:val="44"/>
        </w:rPr>
      </w:pPr>
    </w:p>
    <w:p w14:paraId="10F67181">
      <w:pPr>
        <w:spacing w:line="300" w:lineRule="exact"/>
        <w:jc w:val="center"/>
        <w:rPr>
          <w:rFonts w:ascii="仿宋" w:hAnsi="仿宋" w:eastAsia="仿宋" w:cs="仿宋"/>
          <w:sz w:val="44"/>
        </w:rPr>
      </w:pPr>
    </w:p>
    <w:tbl>
      <w:tblPr>
        <w:tblStyle w:val="5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729"/>
        <w:gridCol w:w="711"/>
        <w:gridCol w:w="962"/>
        <w:gridCol w:w="1235"/>
        <w:gridCol w:w="886"/>
        <w:gridCol w:w="382"/>
        <w:gridCol w:w="382"/>
        <w:gridCol w:w="381"/>
        <w:gridCol w:w="764"/>
        <w:gridCol w:w="764"/>
        <w:gridCol w:w="763"/>
      </w:tblGrid>
      <w:tr w14:paraId="6032A5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65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绥宁县基层卫生单位核算中心</w:t>
            </w:r>
          </w:p>
        </w:tc>
      </w:tr>
      <w:tr w14:paraId="49325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A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年度预算申请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(万元)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07A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D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年初预算数(万元)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7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全年预算数（万元）</w:t>
            </w:r>
          </w:p>
        </w:tc>
        <w:tc>
          <w:tcPr>
            <w:tcW w:w="1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8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全年执行数（万元）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0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0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1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39A12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93800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3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C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2559.21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D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12445.67</w:t>
            </w:r>
          </w:p>
        </w:tc>
        <w:tc>
          <w:tcPr>
            <w:tcW w:w="1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B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12445.67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C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8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D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4383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E6C2A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C3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按收入性质分：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A5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按支出性质分：</w:t>
            </w:r>
          </w:p>
        </w:tc>
      </w:tr>
      <w:tr w14:paraId="18DBC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656AB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9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一般公共预算：</w:t>
            </w:r>
          </w:p>
        </w:tc>
        <w:tc>
          <w:tcPr>
            <w:tcW w:w="3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3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12445.67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1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其中:基本支出：</w:t>
            </w:r>
          </w:p>
        </w:tc>
        <w:tc>
          <w:tcPr>
            <w:tcW w:w="1527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6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7027.23</w:t>
            </w:r>
          </w:p>
        </w:tc>
      </w:tr>
      <w:tr w14:paraId="6C91B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76684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3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政府性基金拨款：</w:t>
            </w:r>
          </w:p>
        </w:tc>
        <w:tc>
          <w:tcPr>
            <w:tcW w:w="3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2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6267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3E02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12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93C92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B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纳入专户管理的非税收入拨款：</w:t>
            </w:r>
          </w:p>
        </w:tc>
        <w:tc>
          <w:tcPr>
            <w:tcW w:w="3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D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E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1527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9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5418.44</w:t>
            </w:r>
          </w:p>
        </w:tc>
      </w:tr>
      <w:tr w14:paraId="61D1F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B2F5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9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26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9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DB3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2813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D2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8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4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9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D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 w14:paraId="22E45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C8F5A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A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目标1：免费向城乡居民提供基本公共卫生服务。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开展对重大疾病及危害因素监测，有效控制疾病流行，为制定相关政策提供科学依据，助力国家脱贫攻坚，保持重点地方病防治措施全面落实，开展职业病监测，最大限度保障放射工作人员、患者和公众的健康权益。同时推进妇幼卫生、健康素养促进、医养结合和老年健康服务、卫生应急、计划生育等方面工作。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A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构建了县域整合性医疗卫生服务体系；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优化了基层医疗卫生机构规划布局；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改善了基层基础设施和设备条件；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加强了基层医疗卫生机构疫情应对能力建设。</w:t>
            </w:r>
          </w:p>
        </w:tc>
      </w:tr>
      <w:tr w14:paraId="31D1A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0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1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B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0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9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6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0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2291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43C15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59F35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1D67E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9A02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AE8D6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01A32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E687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69D97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739BE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9D8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66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F9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FA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E9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B02B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D9E5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8A21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8DD5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AA7D0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3D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AD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9BC4B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F2B29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C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F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A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资金使用无截留、挤占、挪用、虚列支出等情况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E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按实际用途支出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58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A03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33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47FDC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1379F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4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8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D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按进度拨付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按进度拨付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3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B9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906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11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E1A0A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84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5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17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提高人民群众健康素质、就医便利性</w:t>
            </w: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1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人民群众就医小病不出乡、大病不出县，医疗费用逐年递减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E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人民群众就医小病不出乡、大病不出县，医疗费用逐年递减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2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AC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DCC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BF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97DAE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C4062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8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2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提高基层医疗机构服务能力</w:t>
            </w: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C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基层医疗机构服务能力逐年提高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8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基层医疗机构服务能力逐年提高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2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B0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F8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2A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23A02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188FD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56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5E4B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BB1F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476D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C7B3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65D1E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238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E51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DAE0A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0ADB2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08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9164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448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91EC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A8E8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446B4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6C5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E6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770F9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5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9B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C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</w:t>
            </w: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3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4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9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4A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4C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F7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EB21C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34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54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F13E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20C7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AEC9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0613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A0333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2B4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38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48C2F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BE56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64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CD4C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D29A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7863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87F2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3A599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4B2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73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A2C1E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D43B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45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6299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7DCA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1E44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DA8E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4EBC3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F12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B200BD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54DE5724">
      <w:pPr>
        <w:pStyle w:val="4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 w14:paraId="4F298930">
      <w:pPr>
        <w:pStyle w:val="4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 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hAnsi="Calibri" w:eastAsia="仿宋_GB2312" w:cs="Calibri"/>
          <w:color w:val="000000"/>
          <w:shd w:val="clear" w:color="auto" w:fill="FFFFFF"/>
        </w:rPr>
        <w:t>。</w:t>
      </w:r>
    </w:p>
    <w:p w14:paraId="786C919B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3.三级绩效指标按需自行增减行。个别不涉及的二级指标可删除不要。</w:t>
      </w:r>
    </w:p>
    <w:p w14:paraId="56232161">
      <w:pPr>
        <w:pStyle w:val="4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 w14:paraId="366E7917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color w:val="000000"/>
        </w:rPr>
      </w:pPr>
    </w:p>
    <w:p w14:paraId="3261A418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197BFA8A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3E1822C7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1F4D6E0C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29F9A06D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62EC9469"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 w14:paraId="51BAB39B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 w14:paraId="087F9E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D4A05"/>
    <w:multiLevelType w:val="singleLevel"/>
    <w:tmpl w:val="D99D4A0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  <w:sz w:val="32"/>
        <w:szCs w:val="32"/>
      </w:rPr>
    </w:lvl>
  </w:abstractNum>
  <w:abstractNum w:abstractNumId="1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DcxNGRkNTI4MDlhZTI2ZjQyYjQ3YzBlNDNmZDkifQ=="/>
  </w:docVars>
  <w:rsids>
    <w:rsidRoot w:val="00A34FEF"/>
    <w:rsid w:val="00212565"/>
    <w:rsid w:val="006C3390"/>
    <w:rsid w:val="0073042F"/>
    <w:rsid w:val="008D5CE1"/>
    <w:rsid w:val="009454DA"/>
    <w:rsid w:val="00A34FEF"/>
    <w:rsid w:val="00AD6A00"/>
    <w:rsid w:val="00CA2B12"/>
    <w:rsid w:val="00EA3FF1"/>
    <w:rsid w:val="00F8057A"/>
    <w:rsid w:val="00FE5141"/>
    <w:rsid w:val="03275F87"/>
    <w:rsid w:val="0C60135C"/>
    <w:rsid w:val="1CD94D82"/>
    <w:rsid w:val="26C170D4"/>
    <w:rsid w:val="275A197C"/>
    <w:rsid w:val="2B913C9B"/>
    <w:rsid w:val="2CA43035"/>
    <w:rsid w:val="336938A2"/>
    <w:rsid w:val="395F5BB6"/>
    <w:rsid w:val="501A1D45"/>
    <w:rsid w:val="54EB589F"/>
    <w:rsid w:val="55BB1395"/>
    <w:rsid w:val="59BE30E9"/>
    <w:rsid w:val="59D2437A"/>
    <w:rsid w:val="5B015956"/>
    <w:rsid w:val="5B66650A"/>
    <w:rsid w:val="5DA367E4"/>
    <w:rsid w:val="5FF359E0"/>
    <w:rsid w:val="686102E9"/>
    <w:rsid w:val="6F7807C5"/>
    <w:rsid w:val="7C1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8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2889</Words>
  <Characters>3170</Characters>
  <Lines>26</Lines>
  <Paragraphs>7</Paragraphs>
  <TotalTime>81</TotalTime>
  <ScaleCrop>false</ScaleCrop>
  <LinksUpToDate>false</LinksUpToDate>
  <CharactersWithSpaces>3192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2023-08-22T02:49:00Z</dcterms:created>
  <dc:creator>Administrator</dc:creator>
  <cp:lastModifiedBy>Administrator</cp:lastModifiedBy>
  <dcterms:modified xsi:type="dcterms:W3CDTF">2024-09-14T03:41:04Z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6D58C698B2B044F49D7BCE4A819B33AB_13</vt:lpwstr>
  </property>
</Properties>
</file>