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A45BB">
      <w:pPr>
        <w:jc w:val="center"/>
        <w:rPr>
          <w:rFonts w:ascii="宋体" w:hAnsi="宋体"/>
          <w:b/>
          <w:sz w:val="32"/>
          <w:szCs w:val="32"/>
        </w:rPr>
      </w:pPr>
    </w:p>
    <w:p w14:paraId="7FECC501">
      <w:pPr>
        <w:autoSpaceDN w:val="0"/>
        <w:rPr>
          <w:rFonts w:ascii="仿宋" w:hAnsi="仿宋" w:eastAsia="仿宋"/>
          <w:b/>
          <w:bCs/>
          <w:color w:val="010101"/>
          <w:sz w:val="44"/>
          <w:szCs w:val="44"/>
        </w:rPr>
      </w:pPr>
      <w:r>
        <w:rPr>
          <w:rFonts w:hint="eastAsia" w:ascii="仿宋" w:hAnsi="仿宋" w:eastAsia="仿宋"/>
          <w:b/>
          <w:bCs/>
          <w:color w:val="010101"/>
          <w:sz w:val="44"/>
          <w:szCs w:val="44"/>
        </w:rPr>
        <w:t>绥宁县妇幼保健计划生育服务中心2020</w:t>
      </w:r>
      <w:r>
        <w:rPr>
          <w:rFonts w:ascii="仿宋" w:hAnsi="仿宋" w:eastAsia="仿宋"/>
          <w:b/>
          <w:bCs/>
          <w:color w:val="010101"/>
          <w:sz w:val="44"/>
          <w:szCs w:val="44"/>
        </w:rPr>
        <w:t>年度</w:t>
      </w:r>
    </w:p>
    <w:p w14:paraId="35E28540">
      <w:pPr>
        <w:autoSpaceDN w:val="0"/>
        <w:jc w:val="center"/>
        <w:rPr>
          <w:rFonts w:ascii="仿宋" w:hAnsi="仿宋" w:eastAsia="仿宋"/>
          <w:b/>
          <w:bCs/>
          <w:color w:val="010101"/>
          <w:sz w:val="44"/>
          <w:szCs w:val="44"/>
        </w:rPr>
      </w:pPr>
      <w:r>
        <w:rPr>
          <w:rFonts w:ascii="仿宋" w:hAnsi="仿宋" w:eastAsia="仿宋"/>
          <w:b/>
          <w:bCs/>
          <w:color w:val="010101"/>
          <w:sz w:val="44"/>
          <w:szCs w:val="44"/>
        </w:rPr>
        <w:t>部门整体支出绩效评价报告</w:t>
      </w:r>
    </w:p>
    <w:p w14:paraId="49F829DC">
      <w:pPr>
        <w:autoSpaceDN w:val="0"/>
        <w:outlineLvl w:val="0"/>
        <w:rPr>
          <w:rFonts w:ascii="微软雅黑" w:hAnsi="微软雅黑" w:eastAsia="微软雅黑"/>
          <w:color w:val="010101"/>
          <w:sz w:val="24"/>
        </w:rPr>
      </w:pPr>
      <w:r>
        <w:rPr>
          <w:rFonts w:ascii="微软雅黑" w:hAnsi="微软雅黑" w:eastAsia="微软雅黑"/>
          <w:color w:val="010101"/>
          <w:sz w:val="24"/>
        </w:rPr>
        <w:t>　</w:t>
      </w:r>
    </w:p>
    <w:p w14:paraId="1A29640E">
      <w:pPr>
        <w:autoSpaceDN w:val="0"/>
        <w:outlineLvl w:val="0"/>
        <w:rPr>
          <w:rFonts w:ascii="仿宋" w:hAnsi="仿宋" w:eastAsia="仿宋" w:cs="仿宋"/>
          <w:color w:val="010101"/>
          <w:sz w:val="28"/>
          <w:szCs w:val="28"/>
        </w:rPr>
      </w:pPr>
      <w:r>
        <w:rPr>
          <w:rFonts w:hint="eastAsia" w:ascii="微软雅黑" w:hAnsi="微软雅黑" w:eastAsia="微软雅黑"/>
          <w:color w:val="010101"/>
          <w:sz w:val="24"/>
        </w:rPr>
        <w:t xml:space="preserve">    </w:t>
      </w:r>
      <w:r>
        <w:rPr>
          <w:rFonts w:hint="eastAsia" w:ascii="仿宋" w:hAnsi="仿宋" w:eastAsia="仿宋" w:cs="仿宋"/>
          <w:color w:val="010101"/>
          <w:sz w:val="28"/>
          <w:szCs w:val="28"/>
        </w:rPr>
        <w:t xml:space="preserve">一、部门概况 </w:t>
      </w:r>
    </w:p>
    <w:p w14:paraId="682518AC">
      <w:pPr>
        <w:autoSpaceDN w:val="0"/>
        <w:outlineLvl w:val="0"/>
        <w:rPr>
          <w:rFonts w:ascii="仿宋" w:hAnsi="仿宋" w:eastAsia="仿宋" w:cs="仿宋"/>
          <w:color w:val="010101"/>
          <w:sz w:val="28"/>
          <w:szCs w:val="28"/>
        </w:rPr>
      </w:pPr>
      <w:r>
        <w:rPr>
          <w:rFonts w:hint="eastAsia" w:ascii="仿宋" w:hAnsi="仿宋" w:eastAsia="仿宋" w:cs="仿宋"/>
          <w:color w:val="010101"/>
          <w:sz w:val="28"/>
          <w:szCs w:val="28"/>
        </w:rPr>
        <w:t>　（一）部门基本情况</w:t>
      </w:r>
    </w:p>
    <w:p w14:paraId="5BA4A722">
      <w:pPr>
        <w:ind w:firstLine="560" w:firstLineChars="200"/>
        <w:rPr>
          <w:rFonts w:ascii="仿宋" w:hAnsi="仿宋" w:eastAsia="仿宋" w:cs="仿宋"/>
          <w:color w:val="000000"/>
          <w:sz w:val="28"/>
          <w:szCs w:val="28"/>
        </w:rPr>
      </w:pPr>
      <w:r>
        <w:rPr>
          <w:rFonts w:hint="eastAsia" w:ascii="仿宋" w:hAnsi="仿宋" w:eastAsia="仿宋" w:cs="仿宋"/>
          <w:color w:val="010101"/>
          <w:sz w:val="28"/>
          <w:szCs w:val="28"/>
        </w:rPr>
        <w:t>　 1、职能职责：</w:t>
      </w:r>
      <w:r>
        <w:rPr>
          <w:rFonts w:hint="eastAsia" w:ascii="仿宋" w:hAnsi="仿宋" w:eastAsia="仿宋" w:cs="仿宋"/>
          <w:sz w:val="28"/>
          <w:szCs w:val="28"/>
        </w:rPr>
        <w:t>履行公共卫生职责掌握辖区内妇女儿童健康状况信息，为辖区内妇女儿童提供育龄妇女保健、围产保健、儿童保健、计划生育技术等妇幼保健计生技术服务，控制孕产妇及5岁以下儿童死亡率。受卫生和计划生育局委托，承担辖区内妇幼保健、母婴保健技术、计划生育服务技术人员的培训和技术支持工作；负责对本辖区内各级医疗保健机构开展妇幼卫生计生服务质量的检查、考核与评价。承担计划生育宣传教育、技术服务、优生指导、药具发放、信息咨询、随访服务生殖保健等工作。负责开展孕前优生优育健康检查和孕期出生缺陷综合防控工作等等。</w:t>
      </w:r>
    </w:p>
    <w:p w14:paraId="2704E08C">
      <w:pPr>
        <w:widowControl/>
        <w:spacing w:line="600" w:lineRule="atLeast"/>
        <w:ind w:firstLine="560" w:firstLineChars="200"/>
        <w:jc w:val="left"/>
        <w:rPr>
          <w:rFonts w:ascii="仿宋" w:hAnsi="仿宋" w:eastAsia="仿宋" w:cs="仿宋"/>
          <w:kern w:val="0"/>
          <w:sz w:val="28"/>
          <w:szCs w:val="28"/>
        </w:rPr>
      </w:pPr>
      <w:r>
        <w:rPr>
          <w:rFonts w:hint="eastAsia" w:ascii="仿宋" w:hAnsi="仿宋" w:eastAsia="仿宋" w:cs="仿宋"/>
          <w:color w:val="010101"/>
          <w:sz w:val="28"/>
          <w:szCs w:val="28"/>
        </w:rPr>
        <w:t>2、组织架构，人员编制：</w:t>
      </w:r>
      <w:r>
        <w:rPr>
          <w:rFonts w:hint="eastAsia" w:ascii="仿宋" w:hAnsi="仿宋" w:eastAsia="仿宋" w:cs="仿宋"/>
          <w:color w:val="000000"/>
          <w:sz w:val="28"/>
          <w:szCs w:val="28"/>
        </w:rPr>
        <w:t>本单位为绥宁县卫生和计划生育局举办的全额拨款事业单位，现</w:t>
      </w:r>
      <w:r>
        <w:rPr>
          <w:rFonts w:hint="eastAsia" w:ascii="仿宋" w:hAnsi="仿宋" w:eastAsia="仿宋" w:cs="仿宋"/>
          <w:sz w:val="28"/>
          <w:szCs w:val="28"/>
        </w:rPr>
        <w:t>有编制数 49个，实有在职人员27人，退休人员43人。</w:t>
      </w:r>
      <w:r>
        <w:rPr>
          <w:rFonts w:hint="eastAsia" w:ascii="仿宋" w:hAnsi="仿宋" w:eastAsia="仿宋" w:cs="仿宋"/>
          <w:kern w:val="0"/>
          <w:sz w:val="28"/>
          <w:szCs w:val="28"/>
        </w:rPr>
        <w:t>现设置了：办公室、财务科、妇保门诊、儿保门诊、孕前优生优育门诊、B超室、检验科、预防保健科8个科室。</w:t>
      </w:r>
    </w:p>
    <w:p w14:paraId="66CACB3C">
      <w:pPr>
        <w:widowControl/>
        <w:spacing w:line="600" w:lineRule="atLeast"/>
        <w:ind w:firstLine="560" w:firstLineChars="200"/>
        <w:jc w:val="left"/>
        <w:rPr>
          <w:rFonts w:ascii="仿宋" w:hAnsi="仿宋" w:eastAsia="仿宋" w:cs="仿宋"/>
          <w:sz w:val="28"/>
          <w:szCs w:val="28"/>
        </w:rPr>
      </w:pPr>
      <w:r>
        <w:rPr>
          <w:rFonts w:hint="eastAsia" w:ascii="仿宋" w:hAnsi="仿宋" w:eastAsia="仿宋" w:cs="仿宋"/>
          <w:color w:val="010101"/>
          <w:sz w:val="28"/>
          <w:szCs w:val="28"/>
        </w:rPr>
        <w:t>3、资金支出管理：</w:t>
      </w:r>
      <w:r>
        <w:rPr>
          <w:rFonts w:hint="eastAsia" w:ascii="仿宋" w:hAnsi="仿宋" w:eastAsia="仿宋" w:cs="仿宋"/>
          <w:sz w:val="28"/>
          <w:szCs w:val="28"/>
        </w:rPr>
        <w:t>我中心是属于县I级财政预算单位，资金由县财</w:t>
      </w:r>
      <w:r>
        <w:rPr>
          <w:rFonts w:hint="eastAsia" w:ascii="仿宋" w:hAnsi="仿宋" w:eastAsia="仿宋" w:cs="仿宋"/>
          <w:sz w:val="28"/>
          <w:szCs w:val="28"/>
          <w:lang w:val="en-US" w:eastAsia="zh-CN"/>
        </w:rPr>
        <w:t>政</w:t>
      </w:r>
      <w:r>
        <w:rPr>
          <w:rFonts w:hint="eastAsia" w:ascii="仿宋" w:hAnsi="仿宋" w:eastAsia="仿宋" w:cs="仿宋"/>
          <w:sz w:val="28"/>
          <w:szCs w:val="28"/>
        </w:rPr>
        <w:t>局统一规范管理，根据县财政拔款指标和财务规章制度执行授权支付直接支付。</w:t>
      </w:r>
    </w:p>
    <w:p w14:paraId="72A60464">
      <w:pPr>
        <w:widowControl/>
        <w:spacing w:line="600" w:lineRule="atLeast"/>
        <w:ind w:firstLine="560" w:firstLineChars="200"/>
        <w:jc w:val="left"/>
        <w:rPr>
          <w:rFonts w:ascii="仿宋" w:hAnsi="仿宋" w:eastAsia="仿宋" w:cs="仿宋"/>
          <w:sz w:val="28"/>
          <w:szCs w:val="28"/>
        </w:rPr>
      </w:pPr>
      <w:r>
        <w:rPr>
          <w:rFonts w:hint="eastAsia" w:ascii="仿宋" w:hAnsi="仿宋" w:eastAsia="仿宋" w:cs="仿宋"/>
          <w:color w:val="010101"/>
          <w:sz w:val="28"/>
          <w:szCs w:val="28"/>
        </w:rPr>
        <w:t>4、年度</w:t>
      </w:r>
      <w:bookmarkStart w:id="0" w:name="_GoBack"/>
      <w:bookmarkEnd w:id="0"/>
      <w:r>
        <w:rPr>
          <w:rFonts w:hint="eastAsia" w:ascii="仿宋" w:hAnsi="仿宋" w:eastAsia="仿宋" w:cs="仿宋"/>
          <w:color w:val="010101"/>
          <w:sz w:val="28"/>
          <w:szCs w:val="28"/>
        </w:rPr>
        <w:t>重点工作为：</w:t>
      </w:r>
      <w:r>
        <w:rPr>
          <w:rFonts w:hint="eastAsia" w:ascii="仿宋" w:hAnsi="仿宋" w:eastAsia="仿宋" w:cs="仿宋"/>
          <w:sz w:val="28"/>
          <w:szCs w:val="28"/>
        </w:rPr>
        <w:t>党务党建工作、精准扶贫，各项业务工：负责对本辖区内各级医疗保健机构开展妇幼卫生计生服务质量的检查、考核与评价。承担计划生育宣传教育、技术服务、优生指导、药具发放、信息咨询、随访服务生殖保健等工作。负责开展孕前优生优育健康检查和孕期出生缺陷综合防控工作等等。</w:t>
      </w:r>
    </w:p>
    <w:p w14:paraId="311F90F0">
      <w:pPr>
        <w:widowControl/>
        <w:spacing w:line="600" w:lineRule="atLeast"/>
        <w:ind w:firstLine="560" w:firstLineChars="200"/>
        <w:jc w:val="left"/>
        <w:rPr>
          <w:rFonts w:ascii="仿宋" w:hAnsi="仿宋" w:eastAsia="仿宋" w:cs="仿宋"/>
          <w:sz w:val="28"/>
          <w:szCs w:val="28"/>
        </w:rPr>
      </w:pPr>
      <w:r>
        <w:rPr>
          <w:rFonts w:hint="eastAsia" w:ascii="仿宋" w:hAnsi="仿宋" w:eastAsia="仿宋" w:cs="仿宋"/>
          <w:sz w:val="28"/>
          <w:szCs w:val="28"/>
        </w:rPr>
        <w:t>（二）、部门整体支出情况</w:t>
      </w:r>
    </w:p>
    <w:p w14:paraId="3D0C9E6F">
      <w:pPr>
        <w:autoSpaceDN w:val="0"/>
        <w:spacing w:line="33" w:lineRule="atLeast"/>
        <w:ind w:firstLine="280" w:firstLineChars="100"/>
        <w:rPr>
          <w:rFonts w:ascii="仿宋" w:hAnsi="仿宋" w:eastAsia="仿宋" w:cs="仿宋"/>
          <w:color w:val="000000"/>
          <w:sz w:val="28"/>
          <w:szCs w:val="28"/>
        </w:rPr>
      </w:pPr>
      <w:r>
        <w:rPr>
          <w:rFonts w:hint="eastAsia" w:ascii="仿宋" w:hAnsi="仿宋" w:eastAsia="仿宋" w:cs="仿宋"/>
          <w:color w:val="010101"/>
          <w:sz w:val="28"/>
          <w:szCs w:val="28"/>
        </w:rPr>
        <w:t xml:space="preserve"> 1、年度预算资金收支结余:</w:t>
      </w:r>
      <w:r>
        <w:rPr>
          <w:rFonts w:hint="eastAsia" w:ascii="仿宋" w:hAnsi="仿宋" w:eastAsia="仿宋" w:cs="仿宋"/>
          <w:color w:val="000000"/>
          <w:sz w:val="28"/>
          <w:szCs w:val="28"/>
        </w:rPr>
        <w:t xml:space="preserve"> </w:t>
      </w:r>
      <w:r>
        <w:rPr>
          <w:rFonts w:hint="eastAsia" w:ascii="仿宋" w:hAnsi="仿宋" w:eastAsia="仿宋"/>
          <w:sz w:val="28"/>
          <w:szCs w:val="28"/>
          <w:shd w:val="clear" w:color="auto" w:fill="FFFFFF"/>
        </w:rPr>
        <w:t>2020年预算总收入</w:t>
      </w:r>
      <w:r>
        <w:rPr>
          <w:rFonts w:hint="eastAsia" w:ascii="仿宋" w:hAnsi="仿宋" w:eastAsia="仿宋" w:cs="仿宋"/>
          <w:sz w:val="28"/>
          <w:szCs w:val="28"/>
        </w:rPr>
        <w:t>805.56万元</w:t>
      </w:r>
      <w:r>
        <w:rPr>
          <w:rFonts w:hint="eastAsia" w:ascii="仿宋" w:hAnsi="仿宋" w:eastAsia="仿宋"/>
          <w:sz w:val="28"/>
          <w:szCs w:val="28"/>
          <w:shd w:val="clear" w:color="auto" w:fill="FFFFFF"/>
        </w:rPr>
        <w:t>，</w:t>
      </w:r>
      <w:r>
        <w:rPr>
          <w:rFonts w:hint="eastAsia" w:ascii="仿宋" w:hAnsi="仿宋" w:eastAsia="仿宋" w:cs="仿宋"/>
          <w:sz w:val="28"/>
          <w:szCs w:val="28"/>
        </w:rPr>
        <w:t>其中：一般公共预算财政拨款收入482.64万元，政府性基金预算财政拨款收入2万元，事业预算收入320.00万元，其他收入0.92万元。上年结转和结余55.69万元（其中非财政拨款结余52.67万元，专用结余3.02万元）。</w:t>
      </w:r>
      <w:r>
        <w:rPr>
          <w:rFonts w:hint="eastAsia" w:ascii="仿宋" w:hAnsi="仿宋" w:eastAsia="仿宋"/>
          <w:sz w:val="28"/>
          <w:szCs w:val="28"/>
          <w:shd w:val="clear" w:color="auto" w:fill="FFFFFF"/>
        </w:rPr>
        <w:t>全年预算总支出</w:t>
      </w:r>
      <w:r>
        <w:rPr>
          <w:rFonts w:hint="eastAsia" w:ascii="仿宋" w:hAnsi="仿宋" w:eastAsia="仿宋" w:cs="仿宋"/>
          <w:sz w:val="28"/>
          <w:szCs w:val="28"/>
        </w:rPr>
        <w:t>809.36</w:t>
      </w:r>
      <w:r>
        <w:rPr>
          <w:rFonts w:hint="eastAsia" w:ascii="仿宋" w:hAnsi="仿宋" w:eastAsia="仿宋"/>
          <w:sz w:val="28"/>
          <w:szCs w:val="28"/>
          <w:shd w:val="clear" w:color="auto" w:fill="FFFFFF"/>
        </w:rPr>
        <w:t>万元，</w:t>
      </w:r>
      <w:r>
        <w:rPr>
          <w:rFonts w:hint="eastAsia" w:ascii="仿宋" w:hAnsi="仿宋" w:eastAsia="仿宋" w:cs="仿宋"/>
          <w:sz w:val="28"/>
          <w:szCs w:val="28"/>
        </w:rPr>
        <w:t>其中:基本支出620.46万元，项目支出188.90万元。年末结转和结余57.96万元（其中财政拨款结转0.65万元，非财政拨款结余54.29万元，专用结余3.02万元）</w:t>
      </w:r>
      <w:r>
        <w:rPr>
          <w:rFonts w:hint="eastAsia" w:ascii="仿宋" w:hAnsi="仿宋" w:eastAsia="仿宋"/>
          <w:sz w:val="28"/>
          <w:szCs w:val="28"/>
          <w:shd w:val="clear" w:color="auto" w:fill="FFFFFF"/>
        </w:rPr>
        <w:t>。</w:t>
      </w:r>
    </w:p>
    <w:p w14:paraId="4422EA93">
      <w:pPr>
        <w:numPr>
          <w:ilvl w:val="0"/>
          <w:numId w:val="1"/>
        </w:numPr>
        <w:ind w:firstLine="560"/>
        <w:rPr>
          <w:rFonts w:ascii="仿宋" w:hAnsi="仿宋" w:eastAsia="仿宋" w:cs="仿宋"/>
          <w:sz w:val="28"/>
          <w:szCs w:val="28"/>
        </w:rPr>
      </w:pPr>
      <w:r>
        <w:rPr>
          <w:rFonts w:hint="eastAsia" w:ascii="仿宋" w:hAnsi="仿宋" w:eastAsia="仿宋" w:cs="仿宋"/>
          <w:color w:val="010101"/>
          <w:sz w:val="28"/>
          <w:szCs w:val="28"/>
        </w:rPr>
        <w:t>年度财政拨款决算收支情况：</w:t>
      </w:r>
      <w:r>
        <w:rPr>
          <w:rFonts w:hint="eastAsia" w:ascii="仿宋" w:hAnsi="仿宋" w:eastAsia="仿宋" w:cs="仿宋"/>
          <w:color w:val="333333"/>
          <w:sz w:val="28"/>
          <w:szCs w:val="28"/>
        </w:rPr>
        <w:t>2020年度</w:t>
      </w:r>
      <w:r>
        <w:rPr>
          <w:rFonts w:hint="eastAsia" w:ascii="仿宋" w:hAnsi="仿宋" w:eastAsia="仿宋" w:cs="仿宋"/>
          <w:sz w:val="28"/>
          <w:szCs w:val="28"/>
        </w:rPr>
        <w:t>财政拨款预算收入4</w:t>
      </w:r>
      <w:r>
        <w:rPr>
          <w:rFonts w:hint="eastAsia" w:ascii="仿宋" w:hAnsi="仿宋" w:eastAsia="仿宋" w:cs="仿宋"/>
          <w:color w:val="000000"/>
          <w:sz w:val="28"/>
          <w:szCs w:val="28"/>
        </w:rPr>
        <w:t>84.64</w:t>
      </w:r>
      <w:r>
        <w:rPr>
          <w:rFonts w:hint="eastAsia" w:ascii="仿宋" w:hAnsi="仿宋" w:eastAsia="仿宋" w:cs="仿宋"/>
          <w:sz w:val="28"/>
          <w:szCs w:val="28"/>
        </w:rPr>
        <w:t>万元。上年结转结余0万元。财政拨款支出484.31万元。年末财政拨款结转0.32万元（计划生育手术并发症补助专项资金因故一人未领)。与上年相比，财政拨款收入总计减少-127.17万元，减少-20.08%。 财政拨款支出总计减少-127.49万元，减少-20.84%。财政拨款支出484.31万元中</w:t>
      </w:r>
      <w:r>
        <w:rPr>
          <w:rFonts w:hint="eastAsia" w:ascii="仿宋" w:hAnsi="仿宋" w:eastAsia="仿宋" w:cs="仿宋"/>
          <w:sz w:val="30"/>
          <w:szCs w:val="30"/>
        </w:rPr>
        <w:t>基本支出302.69万元（其中：工资福利支出278.16万元，商品服务支出21.92万元，对个人和家庭的补助支出2.62万元）；</w:t>
      </w:r>
      <w:r>
        <w:rPr>
          <w:rFonts w:hint="eastAsia" w:ascii="仿宋" w:hAnsi="仿宋" w:eastAsia="仿宋" w:cs="仿宋"/>
          <w:color w:val="333333"/>
          <w:sz w:val="28"/>
          <w:szCs w:val="28"/>
        </w:rPr>
        <w:t>项目支出</w:t>
      </w:r>
      <w:r>
        <w:rPr>
          <w:rFonts w:hint="eastAsia" w:ascii="仿宋" w:hAnsi="仿宋" w:eastAsia="仿宋" w:cs="仿宋"/>
          <w:sz w:val="28"/>
          <w:szCs w:val="28"/>
        </w:rPr>
        <w:t>181.62</w:t>
      </w:r>
      <w:r>
        <w:rPr>
          <w:rFonts w:hint="eastAsia" w:ascii="仿宋" w:hAnsi="仿宋" w:eastAsia="仿宋" w:cs="仿宋"/>
          <w:color w:val="333333"/>
          <w:sz w:val="28"/>
          <w:szCs w:val="28"/>
        </w:rPr>
        <w:t>万元</w:t>
      </w:r>
      <w:r>
        <w:rPr>
          <w:rFonts w:hint="eastAsia" w:ascii="仿宋" w:hAnsi="仿宋" w:eastAsia="仿宋"/>
          <w:color w:val="333333"/>
          <w:sz w:val="28"/>
          <w:szCs w:val="28"/>
        </w:rPr>
        <w:t>。</w:t>
      </w:r>
    </w:p>
    <w:p w14:paraId="4523E1E5">
      <w:pPr>
        <w:widowControl/>
        <w:spacing w:line="600" w:lineRule="atLeast"/>
        <w:ind w:firstLine="560" w:firstLineChars="200"/>
        <w:jc w:val="left"/>
        <w:rPr>
          <w:rFonts w:ascii="仿宋" w:hAnsi="仿宋" w:eastAsia="仿宋" w:cs="仿宋"/>
          <w:color w:val="010101"/>
          <w:sz w:val="28"/>
          <w:szCs w:val="28"/>
        </w:rPr>
      </w:pPr>
      <w:r>
        <w:rPr>
          <w:rFonts w:hint="eastAsia" w:ascii="仿宋" w:hAnsi="仿宋" w:eastAsia="仿宋" w:cs="仿宋"/>
          <w:color w:val="010101"/>
          <w:sz w:val="28"/>
          <w:szCs w:val="28"/>
        </w:rPr>
        <w:t xml:space="preserve">　二、部门整体支出管理及使用情况 </w:t>
      </w:r>
    </w:p>
    <w:p w14:paraId="377037D9">
      <w:pPr>
        <w:autoSpaceDN w:val="0"/>
        <w:ind w:firstLine="465"/>
        <w:rPr>
          <w:rFonts w:ascii="仿宋" w:hAnsi="仿宋" w:eastAsia="仿宋" w:cs="仿宋"/>
          <w:color w:val="010101"/>
          <w:sz w:val="28"/>
          <w:szCs w:val="28"/>
        </w:rPr>
      </w:pPr>
      <w:r>
        <w:rPr>
          <w:rFonts w:hint="eastAsia" w:ascii="仿宋" w:hAnsi="仿宋" w:eastAsia="仿宋" w:cs="仿宋"/>
          <w:color w:val="010101"/>
          <w:sz w:val="28"/>
          <w:szCs w:val="28"/>
        </w:rPr>
        <w:t>财务规章制度执行及完善情况：</w:t>
      </w:r>
      <w:r>
        <w:rPr>
          <w:rFonts w:hint="eastAsia" w:ascii="仿宋" w:hAnsi="仿宋" w:eastAsia="仿宋" w:cs="宋体"/>
          <w:color w:val="010101"/>
          <w:kern w:val="0"/>
          <w:sz w:val="28"/>
          <w:szCs w:val="28"/>
        </w:rPr>
        <w:t>制定了工程开支、专项开支、培训及会议开支、差旅开支、公务租用车开支、日常办公开支等财务管理制度，成立了财务会审小组，安排会审时间，集中报账；制定了报账流程，严格按报账流程进行票据收集和审核。</w:t>
      </w:r>
    </w:p>
    <w:p w14:paraId="236F2BBD">
      <w:pPr>
        <w:autoSpaceDN w:val="0"/>
        <w:outlineLvl w:val="0"/>
        <w:rPr>
          <w:rFonts w:ascii="仿宋" w:hAnsi="仿宋" w:eastAsia="仿宋" w:cs="仿宋"/>
          <w:color w:val="010101"/>
          <w:sz w:val="28"/>
          <w:szCs w:val="28"/>
        </w:rPr>
      </w:pPr>
      <w:r>
        <w:rPr>
          <w:rFonts w:hint="eastAsia" w:ascii="仿宋" w:hAnsi="仿宋" w:eastAsia="仿宋" w:cs="仿宋"/>
          <w:color w:val="010101"/>
          <w:sz w:val="28"/>
          <w:szCs w:val="28"/>
        </w:rPr>
        <w:t>　（一）基本支出</w:t>
      </w:r>
    </w:p>
    <w:p w14:paraId="08502D2D">
      <w:pPr>
        <w:autoSpaceDN w:val="0"/>
        <w:rPr>
          <w:rFonts w:ascii="仿宋" w:hAnsi="仿宋" w:eastAsia="仿宋" w:cs="仿宋"/>
          <w:color w:val="010101"/>
          <w:sz w:val="28"/>
          <w:szCs w:val="28"/>
        </w:rPr>
      </w:pPr>
      <w:r>
        <w:rPr>
          <w:rFonts w:hint="eastAsia" w:ascii="仿宋" w:hAnsi="仿宋" w:eastAsia="仿宋" w:cs="仿宋"/>
          <w:color w:val="010101"/>
          <w:sz w:val="28"/>
          <w:szCs w:val="28"/>
        </w:rPr>
        <w:t>　　基本支出用于为保障机构正常运转、完成日常工作任务而发生的支出，包括人员经费和公用经费。</w:t>
      </w:r>
    </w:p>
    <w:p w14:paraId="725A7C0D">
      <w:pPr>
        <w:autoSpaceDN w:val="0"/>
        <w:rPr>
          <w:rFonts w:ascii="仿宋" w:hAnsi="仿宋" w:eastAsia="仿宋" w:cs="仿宋"/>
          <w:color w:val="010101"/>
          <w:sz w:val="28"/>
          <w:szCs w:val="28"/>
        </w:rPr>
      </w:pPr>
      <w:r>
        <w:rPr>
          <w:rFonts w:hint="eastAsia" w:ascii="仿宋" w:hAnsi="仿宋" w:eastAsia="仿宋" w:cs="仿宋"/>
          <w:color w:val="010101"/>
          <w:sz w:val="28"/>
          <w:szCs w:val="28"/>
        </w:rPr>
        <w:t>　　2020年年初预算批复的基本支出为327.76万元，年中追加288.58万元（占年初预算批复数88.05%），上年指标结转0万元，本年收回及核减指标0万元，全年财政拨款收入为303.02万元、事业收入312.4万元、其他收入追加0.92万元。全年</w:t>
      </w:r>
      <w:r>
        <w:rPr>
          <w:rFonts w:hint="eastAsia" w:ascii="仿宋" w:hAnsi="仿宋" w:eastAsia="仿宋" w:cs="仿宋"/>
          <w:sz w:val="28"/>
          <w:szCs w:val="28"/>
        </w:rPr>
        <w:t>“事业支出”—基本支出620.46万元中</w:t>
      </w:r>
      <w:r>
        <w:rPr>
          <w:rFonts w:hint="eastAsia" w:ascii="仿宋" w:hAnsi="仿宋" w:eastAsia="仿宋" w:cs="仿宋"/>
          <w:color w:val="010101"/>
          <w:sz w:val="28"/>
          <w:szCs w:val="28"/>
        </w:rPr>
        <w:t>财政拨款支出为303.02万元，本年财政拨款收支差额0万元，2020年年初财政拨款结转和结余0万元，年末财政拨款结转0万元；</w:t>
      </w:r>
      <w:r>
        <w:rPr>
          <w:rFonts w:hint="eastAsia" w:ascii="仿宋" w:hAnsi="仿宋" w:eastAsia="仿宋" w:cs="仿宋"/>
          <w:sz w:val="28"/>
          <w:szCs w:val="28"/>
        </w:rPr>
        <w:t>“事业支出”—基本支出620.46</w:t>
      </w:r>
      <w:r>
        <w:rPr>
          <w:rFonts w:hint="eastAsia" w:ascii="仿宋" w:hAnsi="仿宋" w:eastAsia="仿宋" w:cs="仿宋"/>
          <w:color w:val="010101"/>
          <w:sz w:val="28"/>
          <w:szCs w:val="28"/>
        </w:rPr>
        <w:t>万元</w:t>
      </w:r>
      <w:r>
        <w:rPr>
          <w:rFonts w:hint="eastAsia" w:ascii="仿宋" w:hAnsi="仿宋" w:eastAsia="仿宋" w:cs="仿宋"/>
          <w:sz w:val="28"/>
          <w:szCs w:val="28"/>
        </w:rPr>
        <w:t>中</w:t>
      </w:r>
      <w:r>
        <w:rPr>
          <w:rFonts w:hint="eastAsia" w:ascii="仿宋" w:hAnsi="仿宋" w:eastAsia="仿宋" w:cs="仿宋"/>
          <w:color w:val="010101"/>
          <w:sz w:val="28"/>
          <w:szCs w:val="28"/>
        </w:rPr>
        <w:t>其他资金支出为317.44万元，本年其他资金收支差额-4.12万元，2020年年初非财政拨款结余52.67万元，年末非财政拨款结余48.55万元。</w:t>
      </w:r>
    </w:p>
    <w:p w14:paraId="7C08D5E4">
      <w:pPr>
        <w:autoSpaceDN w:val="0"/>
        <w:rPr>
          <w:rFonts w:ascii="仿宋" w:hAnsi="仿宋" w:eastAsia="仿宋" w:cs="仿宋"/>
          <w:color w:val="010101"/>
          <w:sz w:val="28"/>
          <w:szCs w:val="28"/>
        </w:rPr>
      </w:pPr>
      <w:r>
        <w:rPr>
          <w:rFonts w:hint="eastAsia" w:ascii="仿宋" w:hAnsi="仿宋" w:eastAsia="仿宋" w:cs="仿宋"/>
          <w:color w:val="010101"/>
          <w:sz w:val="28"/>
          <w:szCs w:val="28"/>
        </w:rPr>
        <w:t>　　2020年决算基本支出620.46万元，其中：工资福利支出429.63万元、商品和服务支出187.52万元、对个人和家庭的补助3.31万元。决算数与年初预算指标对比，基本支出差异292.70万元，其中工资福利支出差异138.40万元；对个人和家庭的补助差异-10.92万元，主要是退休费、奖励金等科目。其原因是预算调整，医疗补助支出列入了项目支出。商品和服务支出差异165.22万元, 其原因是印刷费、专用材料、委托业务费等科目增加。</w:t>
      </w:r>
    </w:p>
    <w:p w14:paraId="5C1571C3">
      <w:pPr>
        <w:autoSpaceDN w:val="0"/>
        <w:outlineLvl w:val="0"/>
        <w:rPr>
          <w:rFonts w:ascii="仿宋" w:hAnsi="仿宋" w:eastAsia="仿宋" w:cs="仿宋"/>
          <w:color w:val="010101"/>
          <w:sz w:val="28"/>
          <w:szCs w:val="28"/>
        </w:rPr>
      </w:pPr>
      <w:r>
        <w:rPr>
          <w:rFonts w:hint="eastAsia" w:ascii="仿宋" w:hAnsi="仿宋" w:eastAsia="仿宋" w:cs="仿宋"/>
          <w:color w:val="010101"/>
          <w:sz w:val="28"/>
          <w:szCs w:val="28"/>
        </w:rPr>
        <w:t>　　（二）项目支出</w:t>
      </w:r>
    </w:p>
    <w:p w14:paraId="17DBD257">
      <w:pPr>
        <w:autoSpaceDN w:val="0"/>
        <w:rPr>
          <w:rFonts w:ascii="仿宋" w:hAnsi="仿宋" w:eastAsia="仿宋" w:cs="仿宋"/>
          <w:color w:val="010101"/>
          <w:sz w:val="28"/>
          <w:szCs w:val="28"/>
        </w:rPr>
      </w:pPr>
      <w:r>
        <w:rPr>
          <w:rFonts w:hint="eastAsia" w:ascii="仿宋" w:hAnsi="仿宋" w:eastAsia="仿宋" w:cs="仿宋"/>
          <w:color w:val="010101"/>
          <w:sz w:val="28"/>
          <w:szCs w:val="28"/>
        </w:rPr>
        <w:t>　　项目支出是在基本支出之外为完成其特定的行政工作任务而发生的支出，主要用于一般公共卫生、计划生育服务、卫生健康支出等事务支出。</w:t>
      </w:r>
    </w:p>
    <w:p w14:paraId="0A7F9CF9">
      <w:pPr>
        <w:autoSpaceDN w:val="0"/>
        <w:rPr>
          <w:rFonts w:ascii="仿宋" w:hAnsi="仿宋" w:eastAsia="仿宋" w:cs="仿宋"/>
          <w:color w:val="010101"/>
          <w:sz w:val="28"/>
          <w:szCs w:val="28"/>
        </w:rPr>
      </w:pPr>
      <w:r>
        <w:rPr>
          <w:rFonts w:hint="eastAsia" w:ascii="仿宋" w:hAnsi="仿宋" w:eastAsia="仿宋" w:cs="仿宋"/>
          <w:color w:val="010101"/>
          <w:sz w:val="28"/>
          <w:szCs w:val="28"/>
        </w:rPr>
        <w:t>　　2020年年初预算批复的项目支出为0万元，年中追加</w:t>
      </w:r>
      <w:r>
        <w:rPr>
          <w:rFonts w:hint="eastAsia" w:ascii="仿宋" w:hAnsi="仿宋" w:eastAsia="仿宋" w:cs="仿宋"/>
          <w:color w:val="000000"/>
          <w:sz w:val="28"/>
          <w:szCs w:val="28"/>
        </w:rPr>
        <w:t>188.9</w:t>
      </w:r>
      <w:r>
        <w:rPr>
          <w:rFonts w:hint="eastAsia" w:ascii="仿宋" w:hAnsi="仿宋" w:eastAsia="仿宋" w:cs="仿宋"/>
          <w:color w:val="010101"/>
          <w:sz w:val="28"/>
          <w:szCs w:val="28"/>
        </w:rPr>
        <w:t>万元（占年初预算批复的0%），上年指标结转0万元，本年收回及核减指标0万元，全年项目拨款收入为</w:t>
      </w:r>
      <w:r>
        <w:rPr>
          <w:rFonts w:hint="eastAsia" w:ascii="仿宋" w:hAnsi="仿宋" w:eastAsia="仿宋" w:cs="仿宋"/>
          <w:color w:val="000000"/>
          <w:sz w:val="28"/>
          <w:szCs w:val="28"/>
        </w:rPr>
        <w:t>189.22</w:t>
      </w:r>
      <w:r>
        <w:rPr>
          <w:rFonts w:hint="eastAsia" w:ascii="仿宋" w:hAnsi="仿宋" w:eastAsia="仿宋" w:cs="仿宋"/>
          <w:color w:val="010101"/>
          <w:sz w:val="28"/>
          <w:szCs w:val="28"/>
        </w:rPr>
        <w:t>万元（其中财政拨款预算收入181.62万元、事业预算收入7.6万元）。全年项目支出为</w:t>
      </w:r>
      <w:r>
        <w:rPr>
          <w:rFonts w:hint="eastAsia" w:ascii="仿宋" w:hAnsi="仿宋" w:eastAsia="仿宋" w:cs="仿宋"/>
          <w:color w:val="000000"/>
          <w:sz w:val="28"/>
          <w:szCs w:val="28"/>
        </w:rPr>
        <w:t>188.90</w:t>
      </w:r>
      <w:r>
        <w:rPr>
          <w:rFonts w:hint="eastAsia" w:ascii="仿宋" w:hAnsi="仿宋" w:eastAsia="仿宋" w:cs="仿宋"/>
          <w:color w:val="010101"/>
          <w:sz w:val="28"/>
          <w:szCs w:val="28"/>
        </w:rPr>
        <w:t>万元（其中财政拨款支出181.30万元、其他资金支出7.6万元），本年财政拨款收支差额0.32万元。2020年年初财政拨款结转和结余0万元，年末财政拨款结转和结余0.32万元。</w:t>
      </w:r>
    </w:p>
    <w:p w14:paraId="1E348309">
      <w:pPr>
        <w:autoSpaceDN w:val="0"/>
        <w:rPr>
          <w:rFonts w:ascii="仿宋" w:hAnsi="仿宋" w:eastAsia="仿宋" w:cs="仿宋"/>
          <w:color w:val="010101"/>
          <w:sz w:val="28"/>
          <w:szCs w:val="28"/>
        </w:rPr>
      </w:pPr>
      <w:r>
        <w:rPr>
          <w:rFonts w:hint="eastAsia" w:ascii="仿宋" w:hAnsi="仿宋" w:eastAsia="仿宋" w:cs="仿宋"/>
          <w:color w:val="010101"/>
          <w:sz w:val="28"/>
          <w:szCs w:val="28"/>
        </w:rPr>
        <w:t>　　2020年决算项目支出为</w:t>
      </w:r>
      <w:r>
        <w:rPr>
          <w:rFonts w:hint="eastAsia" w:ascii="仿宋" w:hAnsi="仿宋" w:eastAsia="仿宋" w:cs="仿宋"/>
          <w:color w:val="000000"/>
          <w:sz w:val="28"/>
          <w:szCs w:val="28"/>
        </w:rPr>
        <w:t>188.9</w:t>
      </w:r>
      <w:r>
        <w:rPr>
          <w:rFonts w:hint="eastAsia" w:ascii="仿宋" w:hAnsi="仿宋" w:eastAsia="仿宋" w:cs="仿宋"/>
          <w:color w:val="010101"/>
          <w:sz w:val="28"/>
          <w:szCs w:val="28"/>
        </w:rPr>
        <w:t>万元，其中：商品和服务支出183.58万元、对个人和家庭的补助4.60万元、基本建设支出0万元、其他资本性支出0.72万元。决算数与年初预算指标对比，项目支出差异</w:t>
      </w:r>
      <w:r>
        <w:rPr>
          <w:rFonts w:hint="eastAsia" w:ascii="仿宋" w:hAnsi="仿宋" w:eastAsia="仿宋" w:cs="仿宋"/>
          <w:color w:val="000000"/>
          <w:sz w:val="28"/>
          <w:szCs w:val="28"/>
        </w:rPr>
        <w:t>188.9</w:t>
      </w:r>
      <w:r>
        <w:rPr>
          <w:rFonts w:hint="eastAsia" w:ascii="仿宋" w:hAnsi="仿宋" w:eastAsia="仿宋" w:cs="仿宋"/>
          <w:color w:val="010101"/>
          <w:sz w:val="28"/>
          <w:szCs w:val="28"/>
        </w:rPr>
        <w:t>万元，其中商品服务支出差异 183.58 万元,主要原因是：用于项目支出。其他资本性支出差异 0.72万元。对个人和家庭的补助差异4.6万元, 基本建设支出差异0万元。</w:t>
      </w:r>
    </w:p>
    <w:p w14:paraId="31A6A88D">
      <w:pPr>
        <w:autoSpaceDN w:val="0"/>
        <w:outlineLvl w:val="0"/>
        <w:rPr>
          <w:rFonts w:ascii="仿宋" w:hAnsi="仿宋" w:eastAsia="仿宋" w:cs="仿宋"/>
          <w:color w:val="010101"/>
          <w:sz w:val="28"/>
          <w:szCs w:val="28"/>
        </w:rPr>
      </w:pPr>
      <w:r>
        <w:rPr>
          <w:rFonts w:hint="eastAsia" w:ascii="仿宋" w:hAnsi="仿宋" w:eastAsia="仿宋" w:cs="仿宋"/>
          <w:color w:val="010101"/>
          <w:sz w:val="28"/>
          <w:szCs w:val="28"/>
        </w:rPr>
        <w:t>　　（三）“三公”经费情况</w:t>
      </w:r>
    </w:p>
    <w:p w14:paraId="2EEBAA52">
      <w:pPr>
        <w:autoSpaceDN w:val="0"/>
        <w:rPr>
          <w:rFonts w:ascii="仿宋" w:hAnsi="仿宋" w:eastAsia="仿宋" w:cs="仿宋"/>
          <w:color w:val="010101"/>
          <w:sz w:val="28"/>
          <w:szCs w:val="28"/>
        </w:rPr>
      </w:pPr>
      <w:r>
        <w:rPr>
          <w:rFonts w:hint="eastAsia" w:ascii="仿宋" w:hAnsi="仿宋" w:eastAsia="仿宋" w:cs="仿宋"/>
          <w:color w:val="010101"/>
          <w:sz w:val="28"/>
          <w:szCs w:val="28"/>
        </w:rPr>
        <w:t>2020年初批复预算的“三公”经费为3.5元，其中公务接待费0.5万元、公务用车购置及运行维护费3万元。</w:t>
      </w:r>
    </w:p>
    <w:p w14:paraId="2D79D4DC">
      <w:pPr>
        <w:autoSpaceDN w:val="0"/>
        <w:jc w:val="left"/>
        <w:rPr>
          <w:rFonts w:ascii="仿宋" w:hAnsi="仿宋" w:eastAsia="仿宋" w:cs="仿宋"/>
          <w:color w:val="010101"/>
          <w:sz w:val="28"/>
          <w:szCs w:val="28"/>
        </w:rPr>
      </w:pPr>
      <w:r>
        <w:rPr>
          <w:rFonts w:hint="eastAsia" w:ascii="仿宋" w:hAnsi="仿宋" w:eastAsia="仿宋" w:cs="仿宋"/>
          <w:color w:val="010101"/>
          <w:sz w:val="28"/>
          <w:szCs w:val="28"/>
        </w:rPr>
        <w:t xml:space="preserve">全年决算支出“三公”经费3.02万元，其中公务接待费0.47万元、公务用车购置及运行维护费2.55万元。较上年决算支出减少1.35万元，下降30.93%；较年初预算节约0.48万元，节约比为13.7%，完成年初预算的86.3%。具体情况列表如下： </w:t>
      </w:r>
    </w:p>
    <w:p w14:paraId="6A7E8B0C">
      <w:pPr>
        <w:autoSpaceDN w:val="0"/>
        <w:ind w:left="5040" w:hanging="5040" w:hangingChars="1800"/>
        <w:jc w:val="left"/>
        <w:rPr>
          <w:rFonts w:ascii="仿宋" w:hAnsi="仿宋" w:eastAsia="仿宋" w:cs="仿宋"/>
          <w:color w:val="010101"/>
          <w:sz w:val="28"/>
          <w:szCs w:val="28"/>
        </w:rPr>
      </w:pPr>
      <w:r>
        <w:rPr>
          <w:rFonts w:hint="eastAsia" w:ascii="仿宋" w:hAnsi="仿宋" w:eastAsia="仿宋" w:cs="仿宋"/>
          <w:color w:val="010101"/>
          <w:sz w:val="28"/>
          <w:szCs w:val="28"/>
        </w:rPr>
        <w:t xml:space="preserve">                                                                金额单位：万元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418"/>
        <w:gridCol w:w="1417"/>
        <w:gridCol w:w="1418"/>
        <w:gridCol w:w="1559"/>
      </w:tblGrid>
      <w:tr w14:paraId="4127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14:paraId="378F5789">
            <w:pPr>
              <w:autoSpaceDN w:val="0"/>
              <w:rPr>
                <w:rFonts w:ascii="仿宋" w:hAnsi="仿宋" w:eastAsia="仿宋" w:cs="仿宋"/>
                <w:color w:val="010101"/>
                <w:sz w:val="28"/>
                <w:szCs w:val="28"/>
              </w:rPr>
            </w:pPr>
            <w:r>
              <w:rPr>
                <w:rFonts w:hint="eastAsia" w:ascii="仿宋" w:hAnsi="仿宋" w:eastAsia="仿宋" w:cs="仿宋"/>
                <w:color w:val="010101"/>
                <w:sz w:val="28"/>
                <w:szCs w:val="28"/>
              </w:rPr>
              <w:t>　项目</w:t>
            </w:r>
          </w:p>
        </w:tc>
        <w:tc>
          <w:tcPr>
            <w:tcW w:w="1418" w:type="dxa"/>
          </w:tcPr>
          <w:p w14:paraId="73F53CDB">
            <w:pPr>
              <w:autoSpaceDN w:val="0"/>
              <w:rPr>
                <w:rFonts w:ascii="仿宋" w:hAnsi="仿宋" w:eastAsia="仿宋" w:cs="仿宋"/>
                <w:color w:val="010101"/>
                <w:sz w:val="28"/>
                <w:szCs w:val="28"/>
              </w:rPr>
            </w:pPr>
            <w:r>
              <w:rPr>
                <w:rFonts w:hint="eastAsia" w:ascii="仿宋" w:hAnsi="仿宋" w:eastAsia="仿宋" w:cs="仿宋"/>
                <w:color w:val="010101"/>
                <w:sz w:val="28"/>
                <w:szCs w:val="28"/>
              </w:rPr>
              <w:t>年初预算数</w:t>
            </w:r>
          </w:p>
        </w:tc>
        <w:tc>
          <w:tcPr>
            <w:tcW w:w="1417" w:type="dxa"/>
          </w:tcPr>
          <w:p w14:paraId="1BE5C1B6">
            <w:pPr>
              <w:autoSpaceDN w:val="0"/>
              <w:rPr>
                <w:rFonts w:ascii="仿宋" w:hAnsi="仿宋" w:eastAsia="仿宋" w:cs="仿宋"/>
                <w:color w:val="010101"/>
                <w:sz w:val="28"/>
                <w:szCs w:val="28"/>
              </w:rPr>
            </w:pPr>
            <w:r>
              <w:rPr>
                <w:rFonts w:hint="eastAsia" w:ascii="仿宋" w:hAnsi="仿宋" w:eastAsia="仿宋" w:cs="仿宋"/>
                <w:color w:val="010101"/>
                <w:sz w:val="28"/>
                <w:szCs w:val="28"/>
              </w:rPr>
              <w:t>年末决算数</w:t>
            </w:r>
          </w:p>
        </w:tc>
        <w:tc>
          <w:tcPr>
            <w:tcW w:w="1418" w:type="dxa"/>
          </w:tcPr>
          <w:p w14:paraId="4BEB72EA">
            <w:pPr>
              <w:autoSpaceDN w:val="0"/>
              <w:rPr>
                <w:rFonts w:ascii="仿宋" w:hAnsi="仿宋" w:eastAsia="仿宋" w:cs="仿宋"/>
                <w:color w:val="010101"/>
                <w:sz w:val="28"/>
                <w:szCs w:val="28"/>
              </w:rPr>
            </w:pPr>
            <w:r>
              <w:rPr>
                <w:rFonts w:hint="eastAsia" w:ascii="仿宋" w:hAnsi="仿宋" w:eastAsia="仿宋" w:cs="仿宋"/>
                <w:color w:val="010101"/>
                <w:sz w:val="28"/>
                <w:szCs w:val="28"/>
              </w:rPr>
              <w:t>金额差异</w:t>
            </w:r>
          </w:p>
        </w:tc>
        <w:tc>
          <w:tcPr>
            <w:tcW w:w="1559" w:type="dxa"/>
          </w:tcPr>
          <w:p w14:paraId="54D58921">
            <w:pPr>
              <w:autoSpaceDN w:val="0"/>
              <w:rPr>
                <w:rFonts w:ascii="仿宋" w:hAnsi="仿宋" w:eastAsia="仿宋" w:cs="仿宋"/>
                <w:color w:val="010101"/>
                <w:sz w:val="28"/>
                <w:szCs w:val="28"/>
              </w:rPr>
            </w:pPr>
            <w:r>
              <w:rPr>
                <w:rFonts w:hint="eastAsia" w:ascii="仿宋" w:hAnsi="仿宋" w:eastAsia="仿宋" w:cs="仿宋"/>
                <w:color w:val="010101"/>
                <w:sz w:val="28"/>
                <w:szCs w:val="28"/>
              </w:rPr>
              <w:t>超支节约比率</w:t>
            </w:r>
          </w:p>
        </w:tc>
      </w:tr>
      <w:tr w14:paraId="53F8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14:paraId="498C8C63">
            <w:pPr>
              <w:autoSpaceDN w:val="0"/>
              <w:rPr>
                <w:rFonts w:ascii="仿宋" w:hAnsi="仿宋" w:eastAsia="仿宋" w:cs="仿宋"/>
                <w:color w:val="010101"/>
                <w:sz w:val="28"/>
                <w:szCs w:val="28"/>
              </w:rPr>
            </w:pPr>
            <w:r>
              <w:rPr>
                <w:rFonts w:hint="eastAsia" w:ascii="仿宋" w:hAnsi="仿宋" w:eastAsia="仿宋" w:cs="仿宋"/>
                <w:color w:val="010101"/>
                <w:sz w:val="28"/>
                <w:szCs w:val="28"/>
              </w:rPr>
              <w:t>公务接待费</w:t>
            </w:r>
          </w:p>
        </w:tc>
        <w:tc>
          <w:tcPr>
            <w:tcW w:w="1418" w:type="dxa"/>
          </w:tcPr>
          <w:p w14:paraId="0D4161D7">
            <w:pPr>
              <w:autoSpaceDN w:val="0"/>
              <w:rPr>
                <w:rFonts w:ascii="仿宋" w:hAnsi="仿宋" w:eastAsia="仿宋" w:cs="仿宋"/>
                <w:color w:val="010101"/>
                <w:sz w:val="28"/>
                <w:szCs w:val="28"/>
              </w:rPr>
            </w:pPr>
            <w:r>
              <w:rPr>
                <w:rFonts w:hint="eastAsia" w:ascii="仿宋" w:hAnsi="仿宋" w:eastAsia="仿宋" w:cs="仿宋"/>
                <w:color w:val="010101"/>
                <w:sz w:val="28"/>
                <w:szCs w:val="28"/>
              </w:rPr>
              <w:t>0.5</w:t>
            </w:r>
          </w:p>
        </w:tc>
        <w:tc>
          <w:tcPr>
            <w:tcW w:w="1417" w:type="dxa"/>
          </w:tcPr>
          <w:p w14:paraId="48BF2AC5">
            <w:pPr>
              <w:autoSpaceDN w:val="0"/>
              <w:rPr>
                <w:rFonts w:ascii="仿宋" w:hAnsi="仿宋" w:eastAsia="仿宋" w:cs="仿宋"/>
                <w:color w:val="010101"/>
                <w:sz w:val="28"/>
                <w:szCs w:val="28"/>
              </w:rPr>
            </w:pPr>
            <w:r>
              <w:rPr>
                <w:rFonts w:hint="eastAsia" w:ascii="仿宋" w:hAnsi="仿宋" w:eastAsia="仿宋" w:cs="仿宋"/>
                <w:color w:val="010101"/>
                <w:sz w:val="28"/>
                <w:szCs w:val="28"/>
              </w:rPr>
              <w:t>0.47</w:t>
            </w:r>
          </w:p>
        </w:tc>
        <w:tc>
          <w:tcPr>
            <w:tcW w:w="1418" w:type="dxa"/>
          </w:tcPr>
          <w:p w14:paraId="437EC38E">
            <w:pPr>
              <w:autoSpaceDN w:val="0"/>
              <w:rPr>
                <w:rFonts w:ascii="仿宋" w:hAnsi="仿宋" w:eastAsia="仿宋" w:cs="仿宋"/>
                <w:color w:val="010101"/>
                <w:sz w:val="28"/>
                <w:szCs w:val="28"/>
              </w:rPr>
            </w:pPr>
            <w:r>
              <w:rPr>
                <w:rFonts w:hint="eastAsia" w:ascii="仿宋" w:hAnsi="仿宋" w:eastAsia="仿宋" w:cs="仿宋"/>
                <w:color w:val="010101"/>
                <w:sz w:val="28"/>
                <w:szCs w:val="28"/>
              </w:rPr>
              <w:t>0.003</w:t>
            </w:r>
          </w:p>
        </w:tc>
        <w:tc>
          <w:tcPr>
            <w:tcW w:w="1559" w:type="dxa"/>
          </w:tcPr>
          <w:p w14:paraId="71874BA5">
            <w:pPr>
              <w:autoSpaceDN w:val="0"/>
              <w:rPr>
                <w:rFonts w:ascii="仿宋" w:hAnsi="仿宋" w:eastAsia="仿宋" w:cs="仿宋"/>
                <w:color w:val="010101"/>
                <w:sz w:val="28"/>
                <w:szCs w:val="28"/>
              </w:rPr>
            </w:pPr>
            <w:r>
              <w:rPr>
                <w:rFonts w:hint="eastAsia" w:ascii="仿宋" w:hAnsi="仿宋" w:eastAsia="仿宋" w:cs="仿宋"/>
                <w:color w:val="010101"/>
                <w:sz w:val="28"/>
                <w:szCs w:val="28"/>
              </w:rPr>
              <w:t>节约6%</w:t>
            </w:r>
          </w:p>
        </w:tc>
      </w:tr>
      <w:tr w14:paraId="1CC1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76" w:type="dxa"/>
          </w:tcPr>
          <w:p w14:paraId="726D235F">
            <w:pPr>
              <w:autoSpaceDN w:val="0"/>
              <w:rPr>
                <w:rFonts w:ascii="仿宋" w:hAnsi="仿宋" w:eastAsia="仿宋" w:cs="仿宋"/>
                <w:color w:val="010101"/>
                <w:sz w:val="28"/>
                <w:szCs w:val="28"/>
              </w:rPr>
            </w:pPr>
            <w:r>
              <w:rPr>
                <w:rFonts w:hint="eastAsia" w:ascii="仿宋" w:hAnsi="仿宋" w:eastAsia="仿宋" w:cs="仿宋"/>
                <w:color w:val="010101"/>
                <w:sz w:val="28"/>
                <w:szCs w:val="28"/>
              </w:rPr>
              <w:t>公务用车购置及运行维护费</w:t>
            </w:r>
          </w:p>
        </w:tc>
        <w:tc>
          <w:tcPr>
            <w:tcW w:w="1418" w:type="dxa"/>
          </w:tcPr>
          <w:p w14:paraId="4C1E619F">
            <w:pPr>
              <w:autoSpaceDN w:val="0"/>
              <w:rPr>
                <w:rFonts w:ascii="仿宋" w:hAnsi="仿宋" w:eastAsia="仿宋" w:cs="仿宋"/>
                <w:color w:val="010101"/>
                <w:sz w:val="28"/>
                <w:szCs w:val="28"/>
              </w:rPr>
            </w:pPr>
            <w:r>
              <w:rPr>
                <w:rFonts w:hint="eastAsia" w:ascii="仿宋" w:hAnsi="仿宋" w:eastAsia="仿宋" w:cs="仿宋"/>
                <w:color w:val="010101"/>
                <w:sz w:val="28"/>
                <w:szCs w:val="28"/>
              </w:rPr>
              <w:t>3</w:t>
            </w:r>
          </w:p>
        </w:tc>
        <w:tc>
          <w:tcPr>
            <w:tcW w:w="1417" w:type="dxa"/>
          </w:tcPr>
          <w:p w14:paraId="5B21E66B">
            <w:pPr>
              <w:autoSpaceDN w:val="0"/>
              <w:rPr>
                <w:rFonts w:ascii="仿宋" w:hAnsi="仿宋" w:eastAsia="仿宋" w:cs="仿宋"/>
                <w:color w:val="010101"/>
                <w:sz w:val="28"/>
                <w:szCs w:val="28"/>
              </w:rPr>
            </w:pPr>
            <w:r>
              <w:rPr>
                <w:rFonts w:hint="eastAsia" w:ascii="仿宋" w:hAnsi="仿宋" w:eastAsia="仿宋" w:cs="仿宋"/>
                <w:color w:val="010101"/>
                <w:sz w:val="28"/>
                <w:szCs w:val="28"/>
              </w:rPr>
              <w:t>2.55</w:t>
            </w:r>
          </w:p>
        </w:tc>
        <w:tc>
          <w:tcPr>
            <w:tcW w:w="1418" w:type="dxa"/>
          </w:tcPr>
          <w:p w14:paraId="52E616B8">
            <w:pPr>
              <w:autoSpaceDN w:val="0"/>
              <w:rPr>
                <w:rFonts w:ascii="仿宋" w:hAnsi="仿宋" w:eastAsia="仿宋" w:cs="仿宋"/>
                <w:color w:val="010101"/>
                <w:sz w:val="28"/>
                <w:szCs w:val="28"/>
              </w:rPr>
            </w:pPr>
            <w:r>
              <w:rPr>
                <w:rFonts w:hint="eastAsia" w:ascii="仿宋" w:hAnsi="仿宋" w:eastAsia="仿宋" w:cs="仿宋"/>
                <w:color w:val="010101"/>
                <w:sz w:val="28"/>
                <w:szCs w:val="28"/>
              </w:rPr>
              <w:t>0.45</w:t>
            </w:r>
          </w:p>
        </w:tc>
        <w:tc>
          <w:tcPr>
            <w:tcW w:w="1559" w:type="dxa"/>
          </w:tcPr>
          <w:p w14:paraId="2D3A5FE6">
            <w:pPr>
              <w:autoSpaceDN w:val="0"/>
              <w:rPr>
                <w:rFonts w:ascii="仿宋" w:hAnsi="仿宋" w:eastAsia="仿宋" w:cs="仿宋"/>
                <w:color w:val="010101"/>
                <w:sz w:val="28"/>
                <w:szCs w:val="28"/>
              </w:rPr>
            </w:pPr>
            <w:r>
              <w:rPr>
                <w:rFonts w:hint="eastAsia" w:ascii="仿宋" w:hAnsi="仿宋" w:eastAsia="仿宋" w:cs="仿宋"/>
                <w:color w:val="010101"/>
                <w:sz w:val="28"/>
                <w:szCs w:val="28"/>
              </w:rPr>
              <w:t>节约15%</w:t>
            </w:r>
          </w:p>
        </w:tc>
      </w:tr>
      <w:tr w14:paraId="7452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14:paraId="43E2F947">
            <w:pPr>
              <w:autoSpaceDN w:val="0"/>
              <w:rPr>
                <w:rFonts w:ascii="仿宋" w:hAnsi="仿宋" w:eastAsia="仿宋" w:cs="仿宋"/>
                <w:color w:val="010101"/>
                <w:sz w:val="28"/>
                <w:szCs w:val="28"/>
              </w:rPr>
            </w:pPr>
            <w:r>
              <w:rPr>
                <w:rFonts w:hint="eastAsia" w:ascii="仿宋" w:hAnsi="仿宋" w:eastAsia="仿宋" w:cs="仿宋"/>
                <w:color w:val="010101"/>
                <w:sz w:val="28"/>
                <w:szCs w:val="28"/>
              </w:rPr>
              <w:t>其中：公务用车运行维护费</w:t>
            </w:r>
          </w:p>
        </w:tc>
        <w:tc>
          <w:tcPr>
            <w:tcW w:w="1418" w:type="dxa"/>
          </w:tcPr>
          <w:p w14:paraId="47D4D8A5">
            <w:pPr>
              <w:autoSpaceDN w:val="0"/>
              <w:rPr>
                <w:rFonts w:ascii="仿宋" w:hAnsi="仿宋" w:eastAsia="仿宋" w:cs="仿宋"/>
                <w:color w:val="010101"/>
                <w:sz w:val="28"/>
                <w:szCs w:val="28"/>
              </w:rPr>
            </w:pPr>
            <w:r>
              <w:rPr>
                <w:rFonts w:hint="eastAsia" w:ascii="仿宋" w:hAnsi="仿宋" w:eastAsia="仿宋" w:cs="仿宋"/>
                <w:color w:val="010101"/>
                <w:sz w:val="28"/>
                <w:szCs w:val="28"/>
              </w:rPr>
              <w:t>3</w:t>
            </w:r>
          </w:p>
        </w:tc>
        <w:tc>
          <w:tcPr>
            <w:tcW w:w="1417" w:type="dxa"/>
          </w:tcPr>
          <w:p w14:paraId="58AD500F">
            <w:pPr>
              <w:autoSpaceDN w:val="0"/>
              <w:rPr>
                <w:rFonts w:ascii="仿宋" w:hAnsi="仿宋" w:eastAsia="仿宋" w:cs="仿宋"/>
                <w:color w:val="010101"/>
                <w:sz w:val="28"/>
                <w:szCs w:val="28"/>
              </w:rPr>
            </w:pPr>
            <w:r>
              <w:rPr>
                <w:rFonts w:hint="eastAsia" w:ascii="仿宋" w:hAnsi="仿宋" w:eastAsia="仿宋" w:cs="仿宋"/>
                <w:color w:val="010101"/>
                <w:sz w:val="28"/>
                <w:szCs w:val="28"/>
              </w:rPr>
              <w:t>2.55</w:t>
            </w:r>
          </w:p>
        </w:tc>
        <w:tc>
          <w:tcPr>
            <w:tcW w:w="1418" w:type="dxa"/>
          </w:tcPr>
          <w:p w14:paraId="4B04C71D">
            <w:pPr>
              <w:autoSpaceDN w:val="0"/>
              <w:rPr>
                <w:rFonts w:ascii="仿宋" w:hAnsi="仿宋" w:eastAsia="仿宋" w:cs="仿宋"/>
                <w:color w:val="010101"/>
                <w:sz w:val="28"/>
                <w:szCs w:val="28"/>
              </w:rPr>
            </w:pPr>
            <w:r>
              <w:rPr>
                <w:rFonts w:hint="eastAsia" w:ascii="仿宋" w:hAnsi="仿宋" w:eastAsia="仿宋" w:cs="仿宋"/>
                <w:color w:val="010101"/>
                <w:sz w:val="28"/>
                <w:szCs w:val="28"/>
              </w:rPr>
              <w:t>0.45</w:t>
            </w:r>
          </w:p>
        </w:tc>
        <w:tc>
          <w:tcPr>
            <w:tcW w:w="1559" w:type="dxa"/>
          </w:tcPr>
          <w:p w14:paraId="0EE62893">
            <w:pPr>
              <w:autoSpaceDN w:val="0"/>
              <w:rPr>
                <w:rFonts w:ascii="仿宋" w:hAnsi="仿宋" w:eastAsia="仿宋" w:cs="仿宋"/>
                <w:color w:val="010101"/>
                <w:sz w:val="28"/>
                <w:szCs w:val="28"/>
              </w:rPr>
            </w:pPr>
            <w:r>
              <w:rPr>
                <w:rFonts w:hint="eastAsia" w:ascii="仿宋" w:hAnsi="仿宋" w:eastAsia="仿宋" w:cs="仿宋"/>
                <w:color w:val="010101"/>
                <w:sz w:val="28"/>
                <w:szCs w:val="28"/>
              </w:rPr>
              <w:t>节约15%</w:t>
            </w:r>
          </w:p>
        </w:tc>
      </w:tr>
      <w:tr w14:paraId="40DE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376" w:type="dxa"/>
          </w:tcPr>
          <w:p w14:paraId="33FD4F17">
            <w:pPr>
              <w:autoSpaceDN w:val="0"/>
              <w:rPr>
                <w:rFonts w:ascii="仿宋" w:hAnsi="仿宋" w:eastAsia="仿宋" w:cs="仿宋"/>
                <w:color w:val="010101"/>
                <w:sz w:val="28"/>
                <w:szCs w:val="28"/>
              </w:rPr>
            </w:pPr>
            <w:r>
              <w:rPr>
                <w:rFonts w:hint="eastAsia" w:ascii="仿宋" w:hAnsi="仿宋" w:eastAsia="仿宋" w:cs="仿宋"/>
                <w:color w:val="010101"/>
                <w:sz w:val="28"/>
                <w:szCs w:val="28"/>
              </w:rPr>
              <w:t>公务车购置费</w:t>
            </w:r>
          </w:p>
        </w:tc>
        <w:tc>
          <w:tcPr>
            <w:tcW w:w="1418" w:type="dxa"/>
          </w:tcPr>
          <w:p w14:paraId="3B68B532">
            <w:pPr>
              <w:autoSpaceDN w:val="0"/>
              <w:rPr>
                <w:rFonts w:ascii="仿宋" w:hAnsi="仿宋" w:eastAsia="仿宋" w:cs="仿宋"/>
                <w:color w:val="010101"/>
                <w:sz w:val="28"/>
                <w:szCs w:val="28"/>
              </w:rPr>
            </w:pPr>
          </w:p>
        </w:tc>
        <w:tc>
          <w:tcPr>
            <w:tcW w:w="1417" w:type="dxa"/>
          </w:tcPr>
          <w:p w14:paraId="0C0E6789">
            <w:pPr>
              <w:autoSpaceDN w:val="0"/>
              <w:rPr>
                <w:rFonts w:ascii="仿宋" w:hAnsi="仿宋" w:eastAsia="仿宋" w:cs="仿宋"/>
                <w:color w:val="010101"/>
                <w:sz w:val="28"/>
                <w:szCs w:val="28"/>
              </w:rPr>
            </w:pPr>
          </w:p>
        </w:tc>
        <w:tc>
          <w:tcPr>
            <w:tcW w:w="1418" w:type="dxa"/>
          </w:tcPr>
          <w:p w14:paraId="0461D2FF">
            <w:pPr>
              <w:autoSpaceDN w:val="0"/>
              <w:rPr>
                <w:rFonts w:ascii="仿宋" w:hAnsi="仿宋" w:eastAsia="仿宋" w:cs="仿宋"/>
                <w:color w:val="010101"/>
                <w:sz w:val="28"/>
                <w:szCs w:val="28"/>
              </w:rPr>
            </w:pPr>
          </w:p>
        </w:tc>
        <w:tc>
          <w:tcPr>
            <w:tcW w:w="1559" w:type="dxa"/>
          </w:tcPr>
          <w:p w14:paraId="2D9EE97D">
            <w:pPr>
              <w:autoSpaceDN w:val="0"/>
              <w:rPr>
                <w:rFonts w:ascii="仿宋" w:hAnsi="仿宋" w:eastAsia="仿宋" w:cs="仿宋"/>
                <w:color w:val="010101"/>
                <w:sz w:val="28"/>
                <w:szCs w:val="28"/>
              </w:rPr>
            </w:pPr>
          </w:p>
        </w:tc>
      </w:tr>
      <w:tr w14:paraId="30ED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76" w:type="dxa"/>
          </w:tcPr>
          <w:p w14:paraId="52062287">
            <w:pPr>
              <w:autoSpaceDN w:val="0"/>
              <w:rPr>
                <w:rFonts w:ascii="仿宋" w:hAnsi="仿宋" w:eastAsia="仿宋" w:cs="仿宋"/>
                <w:color w:val="010101"/>
                <w:sz w:val="28"/>
                <w:szCs w:val="28"/>
              </w:rPr>
            </w:pPr>
            <w:r>
              <w:rPr>
                <w:rFonts w:hint="eastAsia" w:ascii="仿宋" w:hAnsi="仿宋" w:eastAsia="仿宋" w:cs="仿宋"/>
                <w:color w:val="010101"/>
                <w:sz w:val="28"/>
                <w:szCs w:val="28"/>
              </w:rPr>
              <w:t>合计</w:t>
            </w:r>
          </w:p>
        </w:tc>
        <w:tc>
          <w:tcPr>
            <w:tcW w:w="1418" w:type="dxa"/>
          </w:tcPr>
          <w:p w14:paraId="7E88975A">
            <w:pPr>
              <w:autoSpaceDN w:val="0"/>
              <w:rPr>
                <w:rFonts w:ascii="仿宋" w:hAnsi="仿宋" w:eastAsia="仿宋" w:cs="仿宋"/>
                <w:color w:val="010101"/>
                <w:sz w:val="28"/>
                <w:szCs w:val="28"/>
              </w:rPr>
            </w:pPr>
            <w:r>
              <w:rPr>
                <w:rFonts w:hint="eastAsia" w:ascii="仿宋" w:hAnsi="仿宋" w:eastAsia="仿宋" w:cs="仿宋"/>
                <w:color w:val="010101"/>
                <w:sz w:val="28"/>
                <w:szCs w:val="28"/>
              </w:rPr>
              <w:t>3.5</w:t>
            </w:r>
          </w:p>
        </w:tc>
        <w:tc>
          <w:tcPr>
            <w:tcW w:w="1417" w:type="dxa"/>
          </w:tcPr>
          <w:p w14:paraId="7A019B6F">
            <w:pPr>
              <w:autoSpaceDN w:val="0"/>
              <w:rPr>
                <w:rFonts w:ascii="仿宋" w:hAnsi="仿宋" w:eastAsia="仿宋" w:cs="仿宋"/>
                <w:color w:val="010101"/>
                <w:sz w:val="28"/>
                <w:szCs w:val="28"/>
              </w:rPr>
            </w:pPr>
            <w:r>
              <w:rPr>
                <w:rFonts w:hint="eastAsia" w:ascii="仿宋" w:hAnsi="仿宋" w:eastAsia="仿宋" w:cs="仿宋"/>
                <w:color w:val="010101"/>
                <w:sz w:val="28"/>
                <w:szCs w:val="28"/>
              </w:rPr>
              <w:t>3.02</w:t>
            </w:r>
          </w:p>
        </w:tc>
        <w:tc>
          <w:tcPr>
            <w:tcW w:w="1418" w:type="dxa"/>
          </w:tcPr>
          <w:p w14:paraId="23DB4A1B">
            <w:pPr>
              <w:autoSpaceDN w:val="0"/>
              <w:rPr>
                <w:rFonts w:ascii="仿宋" w:hAnsi="仿宋" w:eastAsia="仿宋" w:cs="仿宋"/>
                <w:color w:val="010101"/>
                <w:sz w:val="28"/>
                <w:szCs w:val="28"/>
              </w:rPr>
            </w:pPr>
            <w:r>
              <w:rPr>
                <w:rFonts w:hint="eastAsia" w:ascii="仿宋" w:hAnsi="仿宋" w:eastAsia="仿宋" w:cs="仿宋"/>
                <w:color w:val="010101"/>
                <w:sz w:val="28"/>
                <w:szCs w:val="28"/>
              </w:rPr>
              <w:t>3.02</w:t>
            </w:r>
          </w:p>
        </w:tc>
        <w:tc>
          <w:tcPr>
            <w:tcW w:w="1559" w:type="dxa"/>
          </w:tcPr>
          <w:p w14:paraId="171710B1">
            <w:pPr>
              <w:autoSpaceDN w:val="0"/>
              <w:rPr>
                <w:rFonts w:ascii="仿宋" w:hAnsi="仿宋" w:eastAsia="仿宋" w:cs="仿宋"/>
                <w:color w:val="010101"/>
                <w:sz w:val="28"/>
                <w:szCs w:val="28"/>
              </w:rPr>
            </w:pPr>
            <w:r>
              <w:rPr>
                <w:rFonts w:hint="eastAsia" w:ascii="仿宋" w:hAnsi="仿宋" w:eastAsia="仿宋" w:cs="仿宋"/>
                <w:color w:val="010101"/>
                <w:sz w:val="28"/>
                <w:szCs w:val="28"/>
              </w:rPr>
              <w:t>节约13.7%</w:t>
            </w:r>
          </w:p>
        </w:tc>
      </w:tr>
    </w:tbl>
    <w:p w14:paraId="7B174CAC">
      <w:pPr>
        <w:autoSpaceDN w:val="0"/>
        <w:rPr>
          <w:rFonts w:ascii="仿宋" w:hAnsi="仿宋" w:eastAsia="仿宋" w:cs="仿宋"/>
          <w:color w:val="010101"/>
          <w:sz w:val="28"/>
          <w:szCs w:val="28"/>
        </w:rPr>
      </w:pPr>
      <w:r>
        <w:rPr>
          <w:rFonts w:hint="eastAsia" w:ascii="仿宋" w:hAnsi="仿宋" w:eastAsia="仿宋" w:cs="仿宋"/>
          <w:color w:val="010101"/>
          <w:sz w:val="28"/>
          <w:szCs w:val="28"/>
        </w:rPr>
        <w:t>　　1、公务接待费</w:t>
      </w:r>
    </w:p>
    <w:p w14:paraId="3DCFB1A6">
      <w:pPr>
        <w:autoSpaceDN w:val="0"/>
        <w:rPr>
          <w:rFonts w:ascii="仿宋" w:hAnsi="仿宋" w:eastAsia="仿宋" w:cs="仿宋"/>
          <w:color w:val="010101"/>
          <w:sz w:val="28"/>
          <w:szCs w:val="28"/>
        </w:rPr>
      </w:pPr>
      <w:r>
        <w:rPr>
          <w:rFonts w:hint="eastAsia" w:ascii="仿宋" w:hAnsi="仿宋" w:eastAsia="仿宋" w:cs="仿宋"/>
          <w:color w:val="010101"/>
          <w:sz w:val="28"/>
          <w:szCs w:val="28"/>
        </w:rPr>
        <w:t>　　全年国内公务接待共5批次，56人次，其中有公务接待函接待共5批次，56人次。全年决算支出公务接待费0.47万元，较年初预算节约0.03万元，节约6%；较上年支出减少0.81万元，下降比为24.06%。</w:t>
      </w:r>
    </w:p>
    <w:p w14:paraId="495EFB95">
      <w:pPr>
        <w:autoSpaceDN w:val="0"/>
        <w:outlineLvl w:val="0"/>
        <w:rPr>
          <w:rFonts w:ascii="仿宋" w:hAnsi="仿宋" w:eastAsia="仿宋" w:cs="仿宋"/>
          <w:color w:val="010101"/>
          <w:sz w:val="28"/>
          <w:szCs w:val="28"/>
        </w:rPr>
      </w:pPr>
      <w:r>
        <w:rPr>
          <w:rFonts w:hint="eastAsia" w:ascii="仿宋" w:hAnsi="仿宋" w:eastAsia="仿宋" w:cs="仿宋"/>
          <w:color w:val="010101"/>
          <w:sz w:val="28"/>
          <w:szCs w:val="28"/>
        </w:rPr>
        <w:t>　　2、公务用车购置及运行维护费</w:t>
      </w:r>
    </w:p>
    <w:p w14:paraId="516D5F94">
      <w:pPr>
        <w:autoSpaceDN w:val="0"/>
        <w:rPr>
          <w:rFonts w:ascii="仿宋" w:hAnsi="仿宋" w:eastAsia="仿宋" w:cs="仿宋"/>
          <w:color w:val="010101"/>
          <w:sz w:val="28"/>
          <w:szCs w:val="28"/>
        </w:rPr>
      </w:pPr>
      <w:r>
        <w:rPr>
          <w:rFonts w:hint="eastAsia" w:ascii="仿宋" w:hAnsi="仿宋" w:eastAsia="仿宋" w:cs="仿宋"/>
          <w:color w:val="010101"/>
          <w:sz w:val="28"/>
          <w:szCs w:val="28"/>
        </w:rPr>
        <w:t>　　2020年单位实有车辆1辆，其中公共预算财政拨款开支运行维护费的公务用车保有量为1辆。</w:t>
      </w:r>
    </w:p>
    <w:p w14:paraId="48D0C3BF">
      <w:pPr>
        <w:autoSpaceDN w:val="0"/>
        <w:outlineLvl w:val="0"/>
        <w:rPr>
          <w:rFonts w:ascii="仿宋" w:hAnsi="仿宋" w:eastAsia="仿宋" w:cs="仿宋"/>
          <w:color w:val="010101"/>
          <w:sz w:val="28"/>
          <w:szCs w:val="28"/>
        </w:rPr>
      </w:pPr>
      <w:r>
        <w:rPr>
          <w:rFonts w:hint="eastAsia" w:ascii="仿宋" w:hAnsi="仿宋" w:eastAsia="仿宋" w:cs="仿宋"/>
          <w:color w:val="010101"/>
          <w:sz w:val="28"/>
          <w:szCs w:val="28"/>
        </w:rPr>
        <w:t>　　（1）公务车运行维护费</w:t>
      </w:r>
    </w:p>
    <w:p w14:paraId="267C2900">
      <w:pPr>
        <w:autoSpaceDN w:val="0"/>
        <w:rPr>
          <w:rFonts w:ascii="仿宋" w:hAnsi="仿宋" w:eastAsia="仿宋" w:cs="仿宋"/>
          <w:color w:val="010101"/>
          <w:sz w:val="28"/>
          <w:szCs w:val="28"/>
        </w:rPr>
      </w:pPr>
      <w:r>
        <w:rPr>
          <w:rFonts w:hint="eastAsia" w:ascii="仿宋" w:hAnsi="仿宋" w:eastAsia="仿宋" w:cs="仿宋"/>
          <w:color w:val="010101"/>
          <w:sz w:val="28"/>
          <w:szCs w:val="28"/>
        </w:rPr>
        <w:t>　　2020年的公务车运行维护费为2.55万元，较年初预算节约0.45万元，节约15%。</w:t>
      </w:r>
    </w:p>
    <w:p w14:paraId="2EF9DE80">
      <w:pPr>
        <w:autoSpaceDN w:val="0"/>
        <w:outlineLvl w:val="0"/>
        <w:rPr>
          <w:rFonts w:ascii="仿宋" w:hAnsi="仿宋" w:eastAsia="仿宋" w:cs="仿宋"/>
          <w:color w:val="010101"/>
          <w:sz w:val="28"/>
          <w:szCs w:val="28"/>
        </w:rPr>
      </w:pPr>
      <w:r>
        <w:rPr>
          <w:rFonts w:hint="eastAsia" w:ascii="仿宋" w:hAnsi="仿宋" w:eastAsia="仿宋" w:cs="仿宋"/>
          <w:color w:val="010101"/>
          <w:sz w:val="28"/>
          <w:szCs w:val="28"/>
        </w:rPr>
        <w:t>　　（2）公务用车购置费</w:t>
      </w:r>
    </w:p>
    <w:p w14:paraId="1EA8C015">
      <w:pPr>
        <w:autoSpaceDN w:val="0"/>
        <w:ind w:firstLine="645"/>
        <w:rPr>
          <w:rFonts w:ascii="仿宋" w:hAnsi="仿宋" w:eastAsia="仿宋" w:cs="仿宋"/>
          <w:color w:val="010101"/>
          <w:sz w:val="28"/>
          <w:szCs w:val="28"/>
        </w:rPr>
      </w:pPr>
      <w:r>
        <w:rPr>
          <w:rFonts w:hint="eastAsia" w:ascii="仿宋" w:hAnsi="仿宋" w:eastAsia="仿宋" w:cs="仿宋"/>
          <w:color w:val="010101"/>
          <w:sz w:val="28"/>
          <w:szCs w:val="28"/>
        </w:rPr>
        <w:t>2020年新增公务用车0辆，金额0万元，较年初预算下降0万元，完成预算0%；较上年增加支出0万元。</w:t>
      </w:r>
    </w:p>
    <w:p w14:paraId="050538FE">
      <w:pPr>
        <w:autoSpaceDN w:val="0"/>
        <w:ind w:firstLine="645"/>
        <w:rPr>
          <w:rFonts w:ascii="仿宋" w:hAnsi="仿宋" w:eastAsia="仿宋" w:cs="仿宋"/>
          <w:color w:val="010101"/>
          <w:sz w:val="28"/>
          <w:szCs w:val="28"/>
        </w:rPr>
      </w:pPr>
      <w:r>
        <w:rPr>
          <w:rFonts w:hint="eastAsia" w:ascii="仿宋" w:hAnsi="仿宋" w:eastAsia="仿宋" w:cs="仿宋"/>
          <w:color w:val="010101"/>
          <w:sz w:val="28"/>
          <w:szCs w:val="28"/>
        </w:rPr>
        <w:t>（3）2020年公务租车2次，金额0.1524万元，其中到县外省内租车2次，金额0.1524万元。</w:t>
      </w:r>
    </w:p>
    <w:p w14:paraId="3ADC5D20">
      <w:pPr>
        <w:autoSpaceDN w:val="0"/>
        <w:outlineLvl w:val="0"/>
        <w:rPr>
          <w:rFonts w:ascii="仿宋" w:hAnsi="仿宋" w:eastAsia="仿宋" w:cs="仿宋"/>
          <w:color w:val="010101"/>
          <w:sz w:val="28"/>
          <w:szCs w:val="28"/>
        </w:rPr>
      </w:pPr>
      <w:r>
        <w:rPr>
          <w:rFonts w:hint="eastAsia" w:ascii="仿宋" w:hAnsi="仿宋" w:eastAsia="仿宋" w:cs="仿宋"/>
          <w:color w:val="010101"/>
          <w:sz w:val="28"/>
          <w:szCs w:val="28"/>
        </w:rPr>
        <w:t xml:space="preserve">　　三、绩效评价工作情况 </w:t>
      </w:r>
    </w:p>
    <w:p w14:paraId="58F28EF2">
      <w:pPr>
        <w:autoSpaceDN w:val="0"/>
        <w:rPr>
          <w:rFonts w:ascii="仿宋" w:hAnsi="仿宋" w:eastAsia="仿宋" w:cs="仿宋"/>
          <w:color w:val="010101"/>
          <w:sz w:val="28"/>
          <w:szCs w:val="28"/>
        </w:rPr>
      </w:pPr>
      <w:r>
        <w:rPr>
          <w:rFonts w:hint="eastAsia" w:ascii="仿宋" w:hAnsi="仿宋" w:eastAsia="仿宋" w:cs="仿宋"/>
          <w:color w:val="010101"/>
          <w:sz w:val="28"/>
          <w:szCs w:val="28"/>
        </w:rPr>
        <w:t>　　根据《关于开展2020年度各预算单位部门整体支出绩效自评价工作的通知》（绥财绩〔2021〕6号）文件，我单位成立了绩效评价工作领导小组，制定了《2020年度财政资金绩效自评方案》，并依据方案组织开展绩效评价工作。评价小组采取座谈等方式听取情况，检查基本支出、项目支出有关账目，收集整理支出相关资料，对绩效自评材料进行分析形成评价结论。</w:t>
      </w:r>
    </w:p>
    <w:p w14:paraId="6628B1FF">
      <w:pPr>
        <w:autoSpaceDN w:val="0"/>
        <w:outlineLvl w:val="0"/>
        <w:rPr>
          <w:rFonts w:ascii="仿宋" w:hAnsi="仿宋" w:eastAsia="仿宋" w:cs="仿宋"/>
          <w:color w:val="010101"/>
          <w:sz w:val="28"/>
          <w:szCs w:val="28"/>
        </w:rPr>
      </w:pPr>
      <w:r>
        <w:rPr>
          <w:rFonts w:hint="eastAsia" w:ascii="仿宋" w:hAnsi="仿宋" w:eastAsia="仿宋" w:cs="仿宋"/>
          <w:color w:val="010101"/>
          <w:sz w:val="28"/>
          <w:szCs w:val="28"/>
        </w:rPr>
        <w:t xml:space="preserve">　　四、部门整体支出绩效情况 </w:t>
      </w:r>
    </w:p>
    <w:p w14:paraId="32B79A64">
      <w:pPr>
        <w:autoSpaceDN w:val="0"/>
        <w:rPr>
          <w:rFonts w:ascii="仿宋" w:hAnsi="仿宋" w:eastAsia="仿宋" w:cs="仿宋"/>
          <w:color w:val="010101"/>
          <w:sz w:val="28"/>
          <w:szCs w:val="28"/>
        </w:rPr>
      </w:pPr>
      <w:r>
        <w:rPr>
          <w:rFonts w:hint="eastAsia" w:ascii="仿宋" w:hAnsi="仿宋" w:eastAsia="仿宋" w:cs="仿宋"/>
          <w:color w:val="010101"/>
          <w:sz w:val="28"/>
          <w:szCs w:val="28"/>
        </w:rPr>
        <w:t>　　2020年，我单位在县委、县政府的领导下，坚持依法行政、执法为民，稳中求进，改革创新，积极作为，突出抓改革强监管促发展，各方面工作稳步推进，根据我单位制定的《部门整体支出绩效评价自评分值表》评分，得分8</w:t>
      </w:r>
      <w:r>
        <w:rPr>
          <w:rFonts w:hint="eastAsia" w:ascii="仿宋" w:hAnsi="仿宋" w:eastAsia="仿宋" w:cs="仿宋"/>
          <w:color w:val="010101"/>
          <w:sz w:val="28"/>
          <w:szCs w:val="28"/>
          <w:lang w:val="en-US" w:eastAsia="zh-CN"/>
        </w:rPr>
        <w:t>3</w:t>
      </w:r>
      <w:r>
        <w:rPr>
          <w:rFonts w:hint="eastAsia" w:ascii="仿宋" w:hAnsi="仿宋" w:eastAsia="仿宋" w:cs="仿宋"/>
          <w:color w:val="010101"/>
          <w:sz w:val="28"/>
          <w:szCs w:val="28"/>
        </w:rPr>
        <w:t>分，财政支出绩效为“良”。主要绩效如下：</w:t>
      </w:r>
    </w:p>
    <w:p w14:paraId="17B689A1">
      <w:pPr>
        <w:widowControl/>
        <w:tabs>
          <w:tab w:val="left" w:pos="720"/>
        </w:tabs>
        <w:ind w:right="-153" w:rightChars="-73" w:firstLine="643" w:firstLineChars="200"/>
        <w:jc w:val="left"/>
        <w:textAlignment w:val="bottom"/>
        <w:rPr>
          <w:rFonts w:ascii="仿宋" w:hAnsi="仿宋" w:eastAsia="仿宋" w:cs="仿宋"/>
          <w:kern w:val="0"/>
          <w:sz w:val="32"/>
          <w:szCs w:val="32"/>
        </w:rPr>
      </w:pPr>
      <w:r>
        <w:rPr>
          <w:rFonts w:hint="eastAsia" w:ascii="仿宋" w:hAnsi="仿宋" w:eastAsia="仿宋" w:cs="仿宋"/>
          <w:b/>
          <w:sz w:val="32"/>
          <w:szCs w:val="32"/>
        </w:rPr>
        <w:t>1、婚前医学检查：</w:t>
      </w:r>
      <w:r>
        <w:rPr>
          <w:rFonts w:hint="eastAsia" w:ascii="仿宋_GB2312" w:hAnsi="仿宋_GB2312" w:eastAsia="仿宋_GB2312" w:cs="仿宋_GB2312"/>
          <w:kern w:val="0"/>
          <w:sz w:val="32"/>
          <w:szCs w:val="32"/>
        </w:rPr>
        <w:t>我县免费婚前医学检查应检人数是：178对，实际检查176对，检查率为98.87%，对检查出有疾病和疑似病例都做出了相应的告知并提出了医学建议。</w:t>
      </w:r>
    </w:p>
    <w:p w14:paraId="4B95F5B7">
      <w:pPr>
        <w:widowControl/>
        <w:tabs>
          <w:tab w:val="left" w:pos="720"/>
        </w:tabs>
        <w:ind w:right="-153" w:rightChars="-73" w:firstLine="643" w:firstLineChars="200"/>
        <w:jc w:val="left"/>
        <w:textAlignment w:val="bottom"/>
        <w:rPr>
          <w:rFonts w:ascii="仿宋" w:hAnsi="仿宋" w:eastAsia="仿宋" w:cs="仿宋"/>
          <w:b/>
          <w:sz w:val="32"/>
          <w:szCs w:val="32"/>
        </w:rPr>
      </w:pPr>
      <w:r>
        <w:rPr>
          <w:rFonts w:hint="eastAsia" w:ascii="仿宋" w:hAnsi="仿宋" w:eastAsia="仿宋" w:cs="仿宋"/>
          <w:b/>
          <w:sz w:val="32"/>
          <w:szCs w:val="32"/>
        </w:rPr>
        <w:t>2、阻断艾滋病、乙肝、梅毒母婴传播及降消项目：</w:t>
      </w:r>
    </w:p>
    <w:p w14:paraId="2F517BAC">
      <w:pPr>
        <w:widowControl/>
        <w:ind w:firstLine="640" w:firstLineChars="200"/>
        <w:jc w:val="left"/>
        <w:textAlignment w:val="bottom"/>
        <w:rPr>
          <w:rFonts w:ascii="仿宋" w:hAnsi="仿宋" w:eastAsia="仿宋" w:cs="仿宋"/>
          <w:kern w:val="0"/>
          <w:sz w:val="32"/>
          <w:szCs w:val="32"/>
        </w:rPr>
      </w:pPr>
      <w:r>
        <w:rPr>
          <w:rFonts w:hint="eastAsia" w:ascii="仿宋" w:hAnsi="仿宋" w:eastAsia="仿宋" w:cs="仿宋"/>
          <w:kern w:val="0"/>
          <w:sz w:val="32"/>
          <w:szCs w:val="32"/>
        </w:rPr>
        <w:t>按湖南省《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婚前保健人群、孕妇及产妇等目标人群，开展了如下工作：</w:t>
      </w:r>
    </w:p>
    <w:p w14:paraId="6B76E0DB">
      <w:pPr>
        <w:widowControl/>
        <w:tabs>
          <w:tab w:val="left" w:pos="720"/>
        </w:tabs>
        <w:ind w:right="-153" w:rightChars="-73" w:firstLine="640" w:firstLineChars="200"/>
        <w:jc w:val="left"/>
        <w:textAlignment w:val="bottom"/>
        <w:rPr>
          <w:rFonts w:ascii="仿宋" w:hAnsi="仿宋" w:eastAsia="仿宋" w:cs="仿宋"/>
          <w:kern w:val="0"/>
          <w:sz w:val="32"/>
          <w:szCs w:val="32"/>
        </w:rPr>
      </w:pPr>
      <w:r>
        <w:rPr>
          <w:rFonts w:hint="eastAsia" w:ascii="仿宋" w:hAnsi="仿宋" w:eastAsia="仿宋" w:cs="仿宋"/>
          <w:kern w:val="0"/>
          <w:sz w:val="32"/>
          <w:szCs w:val="32"/>
        </w:rPr>
        <w:t>1、健康教育工作。利用门诊宣传架、保健门诊大力宣传“预防艾滋病母婴传播”知识。发放各种宣传处方资料，通过县、乡保健服务单位发放到孕产妇手中，向孕产妇传递艾滋病母婴传播知识和信息。</w:t>
      </w:r>
    </w:p>
    <w:p w14:paraId="5BB72974">
      <w:pPr>
        <w:widowControl/>
        <w:tabs>
          <w:tab w:val="left" w:pos="720"/>
        </w:tabs>
        <w:ind w:left="479" w:leftChars="228" w:firstLine="240" w:firstLineChars="75"/>
        <w:jc w:val="left"/>
        <w:textAlignment w:val="bottom"/>
        <w:rPr>
          <w:rFonts w:ascii="仿宋" w:hAnsi="仿宋" w:eastAsia="仿宋" w:cs="仿宋"/>
          <w:kern w:val="0"/>
          <w:sz w:val="32"/>
          <w:szCs w:val="32"/>
        </w:rPr>
      </w:pPr>
      <w:r>
        <w:rPr>
          <w:rFonts w:hint="eastAsia" w:ascii="仿宋" w:hAnsi="仿宋" w:eastAsia="仿宋" w:cs="仿宋"/>
          <w:kern w:val="0"/>
          <w:sz w:val="32"/>
          <w:szCs w:val="32"/>
        </w:rPr>
        <w:t>2、提供自愿咨询与自愿检测服务。</w:t>
      </w:r>
    </w:p>
    <w:p w14:paraId="6E1EEFE8">
      <w:pPr>
        <w:widowControl/>
        <w:jc w:val="left"/>
        <w:textAlignment w:val="bottom"/>
        <w:rPr>
          <w:rFonts w:ascii="仿宋_GB2312" w:hAnsi="仿宋_GB2312" w:eastAsia="仿宋_GB2312" w:cs="仿宋_GB2312"/>
          <w:kern w:val="0"/>
          <w:sz w:val="32"/>
          <w:szCs w:val="32"/>
        </w:rPr>
      </w:pPr>
      <w:r>
        <w:rPr>
          <w:rFonts w:hint="eastAsia" w:ascii="仿宋" w:hAnsi="仿宋" w:eastAsia="仿宋" w:cs="仿宋"/>
          <w:kern w:val="0"/>
          <w:sz w:val="32"/>
          <w:szCs w:val="32"/>
        </w:rPr>
        <w:t xml:space="preserve">    </w:t>
      </w:r>
      <w:r>
        <w:rPr>
          <w:rFonts w:hint="eastAsia" w:ascii="仿宋_GB2312" w:hAnsi="仿宋_GB2312" w:eastAsia="仿宋_GB2312" w:cs="仿宋_GB2312"/>
          <w:kern w:val="0"/>
          <w:sz w:val="32"/>
          <w:szCs w:val="32"/>
        </w:rPr>
        <w:t xml:space="preserve">  2020年产妇数2053人，HIV免费检测人数2053 人，HIV抗体孕期检测2049人；梅毒孕期检测2049人；乙肝孕期检测2049人；艾、乙、梅孕期检测率均是：99.80%。梅毒检测阳性孕妇有1例，发现后都进行了规范用药，并分别进行了追踪和管理。</w:t>
      </w:r>
    </w:p>
    <w:p w14:paraId="127C39E0">
      <w:pPr>
        <w:widowControl/>
        <w:ind w:firstLine="803" w:firstLineChars="250"/>
        <w:jc w:val="left"/>
        <w:textAlignment w:val="bottom"/>
        <w:rPr>
          <w:rFonts w:ascii="仿宋_GB2312" w:hAnsi="仿宋_GB2312" w:eastAsia="仿宋_GB2312" w:cs="仿宋_GB2312"/>
          <w:color w:val="000000"/>
          <w:sz w:val="32"/>
          <w:szCs w:val="32"/>
        </w:rPr>
      </w:pPr>
      <w:r>
        <w:rPr>
          <w:rFonts w:hint="eastAsia" w:ascii="仿宋" w:hAnsi="仿宋" w:eastAsia="仿宋" w:cs="仿宋"/>
          <w:b/>
          <w:bCs/>
          <w:sz w:val="32"/>
          <w:szCs w:val="32"/>
        </w:rPr>
        <w:t>3、</w:t>
      </w:r>
      <w:r>
        <w:rPr>
          <w:rFonts w:hint="eastAsia" w:ascii="仿宋" w:hAnsi="仿宋" w:eastAsia="仿宋" w:cs="仿宋"/>
          <w:b/>
          <w:color w:val="000000"/>
          <w:sz w:val="28"/>
          <w:szCs w:val="28"/>
        </w:rPr>
        <w:t>四术工作持续加强</w:t>
      </w:r>
      <w:r>
        <w:rPr>
          <w:rFonts w:hint="eastAsia" w:ascii="仿宋" w:hAnsi="仿宋" w:eastAsia="仿宋" w:cs="仿宋"/>
          <w:b/>
          <w:bCs/>
          <w:sz w:val="28"/>
          <w:szCs w:val="28"/>
        </w:rPr>
        <w:t>：</w:t>
      </w: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 xml:space="preserve"> 1、孕前优生健康检查项目超额完成。我中心采取宣传和检查并重的思路，为孕前优生健康检查工作营造了良好的氛围，确保了项目的有序开展。通过出动宣传车、悬挂横幅、在17个行政村张贴公告等多种形式，广泛宣传出生缺陷干预的目的意义，引导群众积极参与出生缺陷预防，努力形成全社会关心支持“孕育健康生命，远离出生缺陷”的良好氛围。全年先后举办培训班1期，培训婚育咨询、婚前检查、孕前筛查诊断等专业技术人员，打造了一支能够承担出生缺陷预防工作的高素质队伍。2020年上级业务部门为我县下达孕前优生检查任务数1600对，到目前止，完成1616对，完成率：101%，并对1616对孕前夫妇进行了19项检查任务，完成率达100%；电脑录入2044对，电脑录入率达100%。</w:t>
      </w:r>
    </w:p>
    <w:p w14:paraId="66F7B023">
      <w:pPr>
        <w:widowControl/>
        <w:ind w:firstLine="640" w:firstLineChars="200"/>
        <w:jc w:val="left"/>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妇女“三查”工作扎实有效开展。我中心紧紧围绕稳定生育水平，提高出生人口素质，改善人口结构这个中心工作，组织工作人员深入全县各个乡（镇）对孕龄群众开展“三查一治”活动，受到了广大妇女的普遍好评。2020年全县共免费“三查”52人，取环12人，放环27人，放皮埋2人，药物流产（人工）11人，计划外怀孕中期引产0人，女扎0人，男扎0人，为17个乡（镇）10342名已婚妇女提供了免费生殖健康服务，为312名已婚育龄妇女进行了“四项”手术,共查妇科疾病6889人次，治愈6010人，免费发放避孕药具115323余人次，宣传教育1862人次，提供咨询325人次。</w:t>
      </w:r>
    </w:p>
    <w:p w14:paraId="38C0C100">
      <w:pPr>
        <w:widowControl/>
        <w:ind w:firstLine="640" w:firstLineChars="200"/>
        <w:jc w:val="left"/>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始终坚持打击“两非”高压态势。全年组织学习了《湖南卫计委关于规范出生人口实名制登记和中期以上人工终止妊娠审批制度的通知》和《邵阳市关于规范出生人口实名制登记和中期以上人工终止妊娠审批制度的通知》对14周以上要求终止妊娠的人员按照相关要求进行了实名制登记。2020年底实施终止妊娠手术0例。</w:t>
      </w:r>
    </w:p>
    <w:p w14:paraId="4497B987">
      <w:pPr>
        <w:widowControl/>
        <w:jc w:val="left"/>
        <w:textAlignment w:val="bottom"/>
        <w:rPr>
          <w:rFonts w:ascii="仿宋_GB2312" w:hAnsi="仿宋_GB2312" w:eastAsia="仿宋_GB2312" w:cs="仿宋_GB2312"/>
          <w:kern w:val="0"/>
          <w:sz w:val="32"/>
          <w:szCs w:val="32"/>
        </w:rPr>
      </w:pPr>
      <w:r>
        <w:rPr>
          <w:rFonts w:hint="eastAsia" w:ascii="仿宋" w:hAnsi="仿宋" w:eastAsia="仿宋" w:cs="仿宋"/>
          <w:color w:val="000000"/>
          <w:sz w:val="32"/>
          <w:szCs w:val="32"/>
        </w:rPr>
        <w:t xml:space="preserve">    4</w:t>
      </w:r>
      <w:r>
        <w:rPr>
          <w:rFonts w:hint="eastAsia" w:ascii="仿宋" w:hAnsi="仿宋" w:eastAsia="仿宋" w:cs="仿宋"/>
          <w:b/>
          <w:bCs/>
          <w:color w:val="000000"/>
          <w:sz w:val="32"/>
          <w:szCs w:val="32"/>
        </w:rPr>
        <w:t>、农村妇女“两癌”免费检查：</w:t>
      </w:r>
      <w:r>
        <w:rPr>
          <w:rFonts w:hint="eastAsia" w:ascii="仿宋_GB2312" w:hAnsi="仿宋_GB2312" w:eastAsia="仿宋_GB2312" w:cs="仿宋_GB2312"/>
          <w:kern w:val="0"/>
          <w:sz w:val="32"/>
          <w:szCs w:val="32"/>
        </w:rPr>
        <w:t>今年我县免费农村妇女病筛查任务数是5500人，实际筛查了5500人，筛查率100 %。对疑似病例都建议其到市、省及进一步检查，上级检查确诊出2例宫颈癌，3例乳腺癌，对确诊的病人我们进行了追踪随访。</w:t>
      </w:r>
    </w:p>
    <w:p w14:paraId="65C57CBF">
      <w:pPr>
        <w:widowControl/>
        <w:ind w:firstLine="643" w:firstLineChars="200"/>
        <w:jc w:val="left"/>
        <w:textAlignment w:val="bottom"/>
        <w:rPr>
          <w:rFonts w:ascii="仿宋" w:hAnsi="仿宋" w:eastAsia="仿宋" w:cs="仿宋"/>
          <w:bCs/>
          <w:kern w:val="0"/>
          <w:sz w:val="32"/>
          <w:szCs w:val="32"/>
        </w:rPr>
      </w:pPr>
      <w:r>
        <w:rPr>
          <w:rFonts w:hint="eastAsia" w:ascii="仿宋" w:hAnsi="仿宋" w:eastAsia="仿宋" w:cs="仿宋"/>
          <w:b/>
          <w:kern w:val="0"/>
          <w:sz w:val="32"/>
          <w:szCs w:val="32"/>
        </w:rPr>
        <w:t>5</w:t>
      </w:r>
      <w:r>
        <w:rPr>
          <w:rFonts w:hint="eastAsia" w:ascii="仿宋" w:hAnsi="仿宋" w:eastAsia="仿宋" w:cs="仿宋"/>
          <w:bCs/>
          <w:kern w:val="0"/>
          <w:sz w:val="32"/>
          <w:szCs w:val="32"/>
        </w:rPr>
        <w:t>、</w:t>
      </w:r>
      <w:r>
        <w:rPr>
          <w:rFonts w:hint="eastAsia" w:ascii="仿宋" w:hAnsi="仿宋" w:eastAsia="仿宋" w:cs="仿宋"/>
          <w:b/>
          <w:kern w:val="0"/>
          <w:sz w:val="32"/>
          <w:szCs w:val="32"/>
        </w:rPr>
        <w:t>农村孕产妇增补叶酸预防神经管缺陷项目</w:t>
      </w:r>
    </w:p>
    <w:p w14:paraId="552F410B">
      <w:pPr>
        <w:widowControl/>
        <w:ind w:firstLine="640" w:firstLineChars="200"/>
        <w:jc w:val="left"/>
        <w:textAlignment w:val="bottom"/>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市里的要求，我院制定了《绥宁县增补叶酸预防神经管缺陷项目管理方案》同时成立了《绥宁县增补叶酸预防神经管缺陷项目技术指导小组》。县妇幼保健院妇幼保健科作为全县项目技术指导核心。同时开展了以下工作：</w:t>
      </w:r>
    </w:p>
    <w:p w14:paraId="1141B06A">
      <w:pPr>
        <w:widowControl/>
        <w:ind w:firstLine="640" w:firstLineChars="200"/>
        <w:jc w:val="left"/>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加强项目的宣教工作。加强项目宣教是“增补叶酸预防神经管缺陷”项目的重要内容。我妇计中心通过婚检中心采取宣传栏，印发宣传资料等形式宣传准备怀孕农村妇女及孕早期妇女补充小剂量叶酸的好处及领取叶酸的程序。通过宣传提高了准备怀孕妇女对于孕早期服用小剂量叶酸知晓率。</w:t>
      </w:r>
    </w:p>
    <w:p w14:paraId="4A5B8BC1">
      <w:pPr>
        <w:widowControl/>
        <w:ind w:firstLine="640" w:firstLineChars="200"/>
        <w:jc w:val="left"/>
        <w:textAlignment w:val="bottom"/>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2、加强妇幼专干对项目知识的培训，要求对辖区内的待孕妇女进行摸底造册，并组织发放小剂量叶酸片，做好发放登记及信息上报工作。大力宣传小剂量叶酸增补相关知识，提高待孕妇女的优生优育的意识，尽量为减少新生儿神经管畸形出生缺陷的发生做好预防工作。2020年全县共发放待孕妇女及早孕妇女2918人，</w:t>
      </w:r>
      <w:r>
        <w:rPr>
          <w:rFonts w:hint="eastAsia" w:ascii="仿宋_GB2312" w:hAnsi="仿宋_GB2312" w:eastAsia="仿宋_GB2312" w:cs="仿宋_GB2312"/>
          <w:color w:val="000000"/>
          <w:kern w:val="0"/>
          <w:sz w:val="32"/>
          <w:szCs w:val="32"/>
        </w:rPr>
        <w:t>新增应服用人是3055，服用率95.51%。叶酸依从率95.33%。</w:t>
      </w:r>
    </w:p>
    <w:p w14:paraId="7C5723F7">
      <w:pPr>
        <w:widowControl/>
        <w:ind w:firstLine="643" w:firstLineChars="200"/>
        <w:jc w:val="left"/>
        <w:textAlignment w:val="bottom"/>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6、新生儿疾病筛查、产筛、听筛项目</w:t>
      </w:r>
    </w:p>
    <w:p w14:paraId="5EFA4BE5">
      <w:pPr>
        <w:widowControl/>
        <w:ind w:firstLine="640" w:firstLineChars="200"/>
        <w:jc w:val="left"/>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按邵阳市《新生儿疾病筛查项目工作实施方案》的相关要求，我院制定了相关的实施方案。至今我县有2068个新生儿出生，有2050个新生儿进行了疾病筛查，筛查率为 99.12 %。听力筛查 1906人，筛查率为92.16%，产前筛查1621人，筛查率101.31%，</w:t>
      </w:r>
      <w:r>
        <w:rPr>
          <w:rFonts w:hint="eastAsia" w:ascii="仿宋_GB2312" w:hAnsi="仿宋_GB2312" w:eastAsia="仿宋_GB2312" w:cs="仿宋_GB2312"/>
          <w:color w:val="000000"/>
          <w:kern w:val="0"/>
          <w:sz w:val="32"/>
          <w:szCs w:val="32"/>
        </w:rPr>
        <w:t>筛查出287个风险人群，风险人群筛查率17.70%，风险人群接受干预人数219人，干预率76.30%，</w:t>
      </w:r>
      <w:r>
        <w:rPr>
          <w:rFonts w:hint="eastAsia" w:ascii="仿宋_GB2312" w:hAnsi="仿宋_GB2312" w:eastAsia="仿宋_GB2312" w:cs="仿宋_GB2312"/>
          <w:kern w:val="0"/>
          <w:sz w:val="32"/>
          <w:szCs w:val="32"/>
        </w:rPr>
        <w:t>并建议到上级医院确诊，此项目有专人追踪和随访，追踪随访率100%，妊娠结局中新生儿政策294人（含8对双胎），因各种原因行引产术16人。</w:t>
      </w:r>
    </w:p>
    <w:p w14:paraId="7C9C4EA9">
      <w:pPr>
        <w:autoSpaceDN w:val="0"/>
        <w:ind w:firstLine="422" w:firstLineChars="150"/>
        <w:rPr>
          <w:rFonts w:ascii="仿宋" w:hAnsi="仿宋" w:eastAsia="仿宋" w:cs="仿宋"/>
          <w:b/>
          <w:bCs/>
          <w:color w:val="010101"/>
          <w:sz w:val="28"/>
          <w:szCs w:val="28"/>
        </w:rPr>
      </w:pPr>
      <w:r>
        <w:rPr>
          <w:rFonts w:hint="eastAsia" w:ascii="仿宋" w:hAnsi="仿宋" w:eastAsia="仿宋" w:cs="仿宋"/>
          <w:b/>
          <w:bCs/>
          <w:color w:val="010101"/>
          <w:sz w:val="28"/>
          <w:szCs w:val="28"/>
        </w:rPr>
        <w:t xml:space="preserve">五、存在的主要问题 </w:t>
      </w:r>
    </w:p>
    <w:p w14:paraId="6CDE67F1">
      <w:pPr>
        <w:autoSpaceDN w:val="0"/>
        <w:outlineLvl w:val="0"/>
        <w:rPr>
          <w:rFonts w:ascii="仿宋" w:hAnsi="仿宋" w:eastAsia="仿宋" w:cs="仿宋"/>
          <w:color w:val="010101"/>
          <w:sz w:val="28"/>
          <w:szCs w:val="28"/>
        </w:rPr>
      </w:pPr>
      <w:r>
        <w:rPr>
          <w:rFonts w:hint="eastAsia" w:ascii="仿宋" w:hAnsi="仿宋" w:eastAsia="仿宋" w:cs="仿宋"/>
          <w:color w:val="010101"/>
          <w:sz w:val="28"/>
          <w:szCs w:val="28"/>
        </w:rPr>
        <w:t>　　（一）预算执行：县财政工作经费预算力度不够，难以满足于单位运转，各项工作开展困难。</w:t>
      </w:r>
    </w:p>
    <w:p w14:paraId="5D0684A2">
      <w:pPr>
        <w:autoSpaceDN w:val="0"/>
        <w:outlineLvl w:val="0"/>
        <w:rPr>
          <w:rFonts w:ascii="仿宋" w:hAnsi="仿宋" w:eastAsia="仿宋" w:cs="仿宋"/>
          <w:color w:val="010101"/>
          <w:sz w:val="28"/>
          <w:szCs w:val="28"/>
        </w:rPr>
      </w:pPr>
      <w:r>
        <w:rPr>
          <w:rFonts w:hint="eastAsia" w:ascii="仿宋" w:hAnsi="仿宋" w:eastAsia="仿宋" w:cs="仿宋"/>
          <w:color w:val="010101"/>
          <w:sz w:val="28"/>
          <w:szCs w:val="28"/>
        </w:rPr>
        <w:t>　　（二）资产核算：由县财政统一核算。</w:t>
      </w:r>
    </w:p>
    <w:p w14:paraId="7FAB64E7">
      <w:pPr>
        <w:autoSpaceDN w:val="0"/>
        <w:ind w:firstLine="630"/>
        <w:outlineLvl w:val="0"/>
        <w:rPr>
          <w:rFonts w:ascii="仿宋" w:hAnsi="仿宋" w:eastAsia="仿宋" w:cs="仿宋"/>
          <w:color w:val="010101"/>
          <w:sz w:val="28"/>
          <w:szCs w:val="28"/>
        </w:rPr>
      </w:pPr>
      <w:r>
        <w:rPr>
          <w:rFonts w:hint="eastAsia" w:ascii="仿宋" w:hAnsi="仿宋" w:eastAsia="仿宋" w:cs="仿宋"/>
          <w:color w:val="010101"/>
          <w:sz w:val="28"/>
          <w:szCs w:val="28"/>
        </w:rPr>
        <w:t>（三）内部管理：单位成立了以负责人为组长的内部控制领导小组，开展各项工作资金支出由领导小组会议通过，实行主任主管，副主任分管制。</w:t>
      </w:r>
    </w:p>
    <w:p w14:paraId="1BA5C6A5">
      <w:pPr>
        <w:autoSpaceDN w:val="0"/>
        <w:ind w:firstLine="560" w:firstLineChars="200"/>
        <w:outlineLvl w:val="0"/>
        <w:rPr>
          <w:rFonts w:ascii="仿宋" w:hAnsi="仿宋" w:eastAsia="仿宋" w:cs="仿宋"/>
          <w:color w:val="010101"/>
          <w:sz w:val="28"/>
          <w:szCs w:val="28"/>
        </w:rPr>
      </w:pPr>
      <w:r>
        <w:rPr>
          <w:rFonts w:hint="eastAsia" w:ascii="仿宋" w:hAnsi="仿宋" w:eastAsia="仿宋" w:cs="仿宋"/>
          <w:color w:val="010101"/>
          <w:sz w:val="28"/>
          <w:szCs w:val="28"/>
        </w:rPr>
        <w:t>（四）经费保障 ：县财政预算工作经费和人员经费。</w:t>
      </w:r>
    </w:p>
    <w:p w14:paraId="36F5D9A1">
      <w:pPr>
        <w:pStyle w:val="17"/>
        <w:ind w:firstLine="560" w:firstLineChars="200"/>
        <w:rPr>
          <w:rFonts w:ascii="仿宋" w:hAnsi="仿宋" w:eastAsia="仿宋" w:cs="仿宋"/>
          <w:color w:val="010101"/>
          <w:sz w:val="28"/>
          <w:szCs w:val="28"/>
        </w:rPr>
      </w:pPr>
      <w:r>
        <w:rPr>
          <w:rFonts w:hint="eastAsia" w:ascii="仿宋" w:hAnsi="仿宋" w:eastAsia="仿宋" w:cs="仿宋"/>
          <w:color w:val="010101"/>
          <w:sz w:val="28"/>
          <w:szCs w:val="28"/>
        </w:rPr>
        <w:t>（五）其他：</w:t>
      </w:r>
      <w:r>
        <w:rPr>
          <w:rFonts w:hint="eastAsia" w:ascii="仿宋" w:hAnsi="仿宋" w:eastAsia="仿宋" w:cs="仿宋"/>
          <w:sz w:val="28"/>
          <w:szCs w:val="28"/>
        </w:rPr>
        <w:t>近几年来省里配套经费补助越来越少，项目工作却越来越细化，任务越来越重，因经费不足各个项目工作在实施过程中难以开展，经费拔付不及时，加之县财政工作经费补助力度不够，项目配套经费少，单位正常整体动行较困难。</w:t>
      </w:r>
    </w:p>
    <w:p w14:paraId="2C75BD96">
      <w:pPr>
        <w:autoSpaceDN w:val="0"/>
        <w:outlineLvl w:val="0"/>
        <w:rPr>
          <w:rFonts w:ascii="仿宋" w:hAnsi="仿宋" w:eastAsia="仿宋" w:cs="仿宋"/>
          <w:color w:val="010101"/>
          <w:sz w:val="28"/>
          <w:szCs w:val="28"/>
        </w:rPr>
      </w:pPr>
      <w:r>
        <w:rPr>
          <w:rFonts w:hint="eastAsia" w:ascii="仿宋" w:hAnsi="仿宋" w:eastAsia="仿宋" w:cs="仿宋"/>
          <w:color w:val="010101"/>
          <w:sz w:val="28"/>
          <w:szCs w:val="28"/>
        </w:rPr>
        <w:t>　</w:t>
      </w:r>
      <w:r>
        <w:rPr>
          <w:rFonts w:hint="eastAsia" w:ascii="仿宋" w:hAnsi="仿宋" w:eastAsia="仿宋" w:cs="仿宋"/>
          <w:b/>
          <w:bCs/>
          <w:color w:val="010101"/>
          <w:sz w:val="28"/>
          <w:szCs w:val="28"/>
        </w:rPr>
        <w:t xml:space="preserve">　　六、改进措施和有关建议 </w:t>
      </w:r>
    </w:p>
    <w:p w14:paraId="2A67E114">
      <w:pPr>
        <w:autoSpaceDN w:val="0"/>
        <w:rPr>
          <w:rFonts w:ascii="仿宋" w:hAnsi="仿宋" w:eastAsia="仿宋" w:cs="仿宋"/>
          <w:color w:val="010101"/>
          <w:sz w:val="28"/>
          <w:szCs w:val="28"/>
        </w:rPr>
      </w:pPr>
      <w:r>
        <w:rPr>
          <w:rFonts w:hint="eastAsia" w:ascii="仿宋" w:hAnsi="仿宋" w:eastAsia="仿宋" w:cs="仿宋"/>
          <w:color w:val="010101"/>
          <w:sz w:val="28"/>
          <w:szCs w:val="28"/>
        </w:rPr>
        <w:t>　　（一）建议一：县财政加大工作经费预算力度和拔付。</w:t>
      </w:r>
    </w:p>
    <w:p w14:paraId="477301A8">
      <w:pPr>
        <w:shd w:val="clear" w:color="auto" w:fill="FFFFFF"/>
        <w:snapToGrid w:val="0"/>
        <w:spacing w:line="360" w:lineRule="auto"/>
        <w:ind w:firstLine="573"/>
        <w:jc w:val="left"/>
        <w:outlineLvl w:val="0"/>
        <w:rPr>
          <w:rFonts w:ascii="仿宋" w:hAnsi="仿宋" w:eastAsia="仿宋" w:cs="仿宋"/>
          <w:b/>
          <w:bCs/>
          <w:sz w:val="28"/>
          <w:szCs w:val="28"/>
        </w:rPr>
      </w:pPr>
      <w:r>
        <w:rPr>
          <w:rFonts w:hint="eastAsia" w:ascii="仿宋" w:hAnsi="仿宋" w:eastAsia="仿宋" w:cs="仿宋"/>
          <w:color w:val="010101"/>
          <w:sz w:val="28"/>
          <w:szCs w:val="28"/>
        </w:rPr>
        <w:t>（二）建议二：</w:t>
      </w:r>
      <w:r>
        <w:rPr>
          <w:rFonts w:hint="eastAsia" w:ascii="仿宋" w:hAnsi="仿宋" w:eastAsia="仿宋" w:cs="仿宋"/>
          <w:sz w:val="28"/>
          <w:szCs w:val="28"/>
        </w:rPr>
        <w:t>加大专项资金的投入力度。及时拨付我中心的公卫专项资金。省和县加大项目配套经费力度。</w:t>
      </w:r>
    </w:p>
    <w:p w14:paraId="6031F483">
      <w:pPr>
        <w:autoSpaceDN w:val="0"/>
        <w:ind w:firstLine="560" w:firstLineChars="200"/>
        <w:rPr>
          <w:rFonts w:ascii="仿宋" w:hAnsi="仿宋" w:eastAsia="仿宋" w:cs="仿宋"/>
          <w:color w:val="010101"/>
          <w:sz w:val="28"/>
          <w:szCs w:val="28"/>
        </w:rPr>
      </w:pPr>
      <w:r>
        <w:rPr>
          <w:rFonts w:hint="eastAsia" w:ascii="仿宋" w:hAnsi="仿宋" w:eastAsia="仿宋" w:cs="仿宋"/>
          <w:color w:val="010101"/>
          <w:sz w:val="28"/>
          <w:szCs w:val="28"/>
        </w:rPr>
        <w:t>（三）建议三：</w:t>
      </w:r>
      <w:r>
        <w:rPr>
          <w:rFonts w:hint="eastAsia" w:ascii="仿宋" w:hAnsi="仿宋" w:eastAsia="仿宋" w:cs="仿宋"/>
          <w:sz w:val="28"/>
          <w:szCs w:val="28"/>
        </w:rPr>
        <w:t>省和县加大项目配套经费力度</w:t>
      </w:r>
    </w:p>
    <w:p w14:paraId="5653D9E9">
      <w:pPr>
        <w:ind w:firstLine="3373" w:firstLineChars="1200"/>
        <w:rPr>
          <w:rFonts w:ascii="仿宋" w:hAnsi="仿宋" w:eastAsia="仿宋" w:cs="仿宋"/>
          <w:b/>
          <w:sz w:val="28"/>
          <w:szCs w:val="28"/>
        </w:rPr>
      </w:pPr>
      <w:r>
        <w:rPr>
          <w:rFonts w:hint="eastAsia" w:ascii="仿宋" w:hAnsi="仿宋" w:eastAsia="仿宋" w:cs="仿宋"/>
          <w:b/>
          <w:sz w:val="28"/>
          <w:szCs w:val="28"/>
        </w:rPr>
        <w:t>绥宁县妇幼保健计划生育服务中心</w:t>
      </w:r>
    </w:p>
    <w:p w14:paraId="4FCC1F89">
      <w:pPr>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2021年3月30日</w:t>
      </w:r>
    </w:p>
    <w:p w14:paraId="4E64F891">
      <w:pPr>
        <w:spacing w:line="500" w:lineRule="exact"/>
        <w:rPr>
          <w:rFonts w:ascii="黑体" w:eastAsia="黑体" w:cs="仿宋_GB2312"/>
          <w:color w:val="000000"/>
          <w:sz w:val="32"/>
          <w:szCs w:val="32"/>
        </w:rPr>
      </w:pPr>
    </w:p>
    <w:p w14:paraId="6AE8CF97">
      <w:pPr>
        <w:spacing w:line="500" w:lineRule="exact"/>
        <w:rPr>
          <w:rFonts w:ascii="黑体" w:eastAsia="黑体" w:cs="仿宋_GB2312"/>
          <w:color w:val="000000"/>
          <w:sz w:val="32"/>
          <w:szCs w:val="32"/>
        </w:rPr>
      </w:pPr>
    </w:p>
    <w:p w14:paraId="65B193F2">
      <w:pPr>
        <w:spacing w:line="500" w:lineRule="exact"/>
        <w:rPr>
          <w:rFonts w:ascii="黑体" w:eastAsia="黑体" w:cs="仿宋_GB2312"/>
          <w:color w:val="000000"/>
          <w:sz w:val="32"/>
          <w:szCs w:val="32"/>
        </w:rPr>
      </w:pPr>
    </w:p>
    <w:p w14:paraId="6D85078F">
      <w:pPr>
        <w:spacing w:line="500" w:lineRule="exact"/>
        <w:rPr>
          <w:rFonts w:ascii="黑体" w:eastAsia="黑体" w:cs="仿宋_GB2312"/>
          <w:color w:val="000000"/>
          <w:sz w:val="32"/>
          <w:szCs w:val="32"/>
        </w:rPr>
      </w:pPr>
    </w:p>
    <w:p w14:paraId="67AE974E">
      <w:pPr>
        <w:spacing w:line="500" w:lineRule="exact"/>
        <w:rPr>
          <w:rFonts w:ascii="黑体" w:eastAsia="黑体" w:cs="仿宋_GB2312"/>
          <w:color w:val="000000"/>
          <w:sz w:val="32"/>
          <w:szCs w:val="32"/>
        </w:rPr>
      </w:pPr>
    </w:p>
    <w:p w14:paraId="54B2FB29">
      <w:pPr>
        <w:spacing w:line="500" w:lineRule="exact"/>
        <w:rPr>
          <w:rFonts w:ascii="黑体" w:eastAsia="黑体" w:cs="仿宋_GB2312"/>
          <w:color w:val="000000"/>
          <w:sz w:val="32"/>
          <w:szCs w:val="32"/>
        </w:rPr>
      </w:pPr>
    </w:p>
    <w:p w14:paraId="33C42EA9">
      <w:pPr>
        <w:spacing w:line="500" w:lineRule="exact"/>
        <w:rPr>
          <w:rFonts w:ascii="黑体" w:eastAsia="黑体" w:cs="仿宋_GB2312"/>
          <w:color w:val="000000"/>
          <w:sz w:val="32"/>
          <w:szCs w:val="32"/>
        </w:rPr>
      </w:pPr>
    </w:p>
    <w:p w14:paraId="551C1B2B">
      <w:pPr>
        <w:spacing w:line="500" w:lineRule="exact"/>
        <w:rPr>
          <w:rFonts w:ascii="黑体" w:eastAsia="黑体" w:cs="仿宋_GB2312"/>
          <w:color w:val="000000"/>
          <w:sz w:val="32"/>
          <w:szCs w:val="32"/>
        </w:rPr>
      </w:pPr>
    </w:p>
    <w:p w14:paraId="22E41832">
      <w:pPr>
        <w:spacing w:line="500" w:lineRule="exact"/>
        <w:rPr>
          <w:rFonts w:ascii="黑体" w:eastAsia="黑体" w:cs="仿宋_GB2312"/>
          <w:color w:val="000000"/>
          <w:sz w:val="32"/>
          <w:szCs w:val="32"/>
        </w:rPr>
      </w:pPr>
    </w:p>
    <w:p w14:paraId="0FA19368">
      <w:pPr>
        <w:spacing w:line="500" w:lineRule="exact"/>
        <w:rPr>
          <w:rFonts w:ascii="黑体" w:eastAsia="黑体" w:cs="仿宋_GB2312"/>
          <w:color w:val="000000"/>
          <w:sz w:val="32"/>
          <w:szCs w:val="32"/>
        </w:rPr>
      </w:pPr>
    </w:p>
    <w:p w14:paraId="2F1CFEC8">
      <w:pPr>
        <w:spacing w:line="500" w:lineRule="exact"/>
        <w:rPr>
          <w:rFonts w:ascii="黑体" w:eastAsia="黑体" w:cs="仿宋_GB2312"/>
          <w:color w:val="000000"/>
          <w:sz w:val="32"/>
          <w:szCs w:val="32"/>
        </w:rPr>
      </w:pPr>
    </w:p>
    <w:sectPr>
      <w:footerReference r:id="rId3" w:type="default"/>
      <w:footerReference r:id="rId4"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01C9D">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E3B4E">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1</w:t>
    </w:r>
    <w:r>
      <w:fldChar w:fldCharType="end"/>
    </w:r>
  </w:p>
  <w:p w14:paraId="4402981F">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05D5"/>
    <w:multiLevelType w:val="singleLevel"/>
    <w:tmpl w:val="B96105D5"/>
    <w:lvl w:ilvl="0" w:tentative="0">
      <w:start w:val="2"/>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yMjZhYWNjMGI5ZWMxZGYyOWIwMzYyNzQ0ZmQ0YTUifQ=="/>
  </w:docVars>
  <w:rsids>
    <w:rsidRoot w:val="008E2385"/>
    <w:rsid w:val="00053992"/>
    <w:rsid w:val="00086998"/>
    <w:rsid w:val="001A4FFC"/>
    <w:rsid w:val="002721BD"/>
    <w:rsid w:val="003D42E7"/>
    <w:rsid w:val="004435B3"/>
    <w:rsid w:val="00481C31"/>
    <w:rsid w:val="004866AF"/>
    <w:rsid w:val="006E55D0"/>
    <w:rsid w:val="006F1AE3"/>
    <w:rsid w:val="00850F60"/>
    <w:rsid w:val="00852363"/>
    <w:rsid w:val="008D7356"/>
    <w:rsid w:val="008E2385"/>
    <w:rsid w:val="008E5ED0"/>
    <w:rsid w:val="00976D0A"/>
    <w:rsid w:val="00A30686"/>
    <w:rsid w:val="00AF7279"/>
    <w:rsid w:val="00B96318"/>
    <w:rsid w:val="00BC29B4"/>
    <w:rsid w:val="00BC457C"/>
    <w:rsid w:val="00BC6498"/>
    <w:rsid w:val="00C20960"/>
    <w:rsid w:val="00C47D73"/>
    <w:rsid w:val="00CE5B7B"/>
    <w:rsid w:val="00CF722D"/>
    <w:rsid w:val="00D60451"/>
    <w:rsid w:val="00D620F7"/>
    <w:rsid w:val="00DF04F4"/>
    <w:rsid w:val="00E115BB"/>
    <w:rsid w:val="00E74B8C"/>
    <w:rsid w:val="00F16981"/>
    <w:rsid w:val="00F31AD1"/>
    <w:rsid w:val="017E0CD4"/>
    <w:rsid w:val="020F3C44"/>
    <w:rsid w:val="02213D0D"/>
    <w:rsid w:val="02867D52"/>
    <w:rsid w:val="0289161C"/>
    <w:rsid w:val="02E87E34"/>
    <w:rsid w:val="03566C5A"/>
    <w:rsid w:val="03D35307"/>
    <w:rsid w:val="050004E0"/>
    <w:rsid w:val="05C06342"/>
    <w:rsid w:val="06347105"/>
    <w:rsid w:val="063E55DD"/>
    <w:rsid w:val="064726A0"/>
    <w:rsid w:val="06FB63BB"/>
    <w:rsid w:val="072256E2"/>
    <w:rsid w:val="076357D4"/>
    <w:rsid w:val="07CA0A8E"/>
    <w:rsid w:val="07ED327D"/>
    <w:rsid w:val="080C66FA"/>
    <w:rsid w:val="085F6A1E"/>
    <w:rsid w:val="08F5243C"/>
    <w:rsid w:val="09562609"/>
    <w:rsid w:val="098D226C"/>
    <w:rsid w:val="09E061E8"/>
    <w:rsid w:val="0A051F93"/>
    <w:rsid w:val="0A2A3BD0"/>
    <w:rsid w:val="0AC82B4F"/>
    <w:rsid w:val="0B8B50CA"/>
    <w:rsid w:val="0BAB7E62"/>
    <w:rsid w:val="0C042A8D"/>
    <w:rsid w:val="0C534D0D"/>
    <w:rsid w:val="0C7E6A61"/>
    <w:rsid w:val="0CDF25D6"/>
    <w:rsid w:val="0D846886"/>
    <w:rsid w:val="0DE32CDF"/>
    <w:rsid w:val="0E0B5BA1"/>
    <w:rsid w:val="0EA12BBD"/>
    <w:rsid w:val="0F472FE2"/>
    <w:rsid w:val="0F504A83"/>
    <w:rsid w:val="0F5831AB"/>
    <w:rsid w:val="10FB3E6A"/>
    <w:rsid w:val="11393EC6"/>
    <w:rsid w:val="12255336"/>
    <w:rsid w:val="12C2404F"/>
    <w:rsid w:val="13064958"/>
    <w:rsid w:val="13F30DC0"/>
    <w:rsid w:val="14A25706"/>
    <w:rsid w:val="14F5010B"/>
    <w:rsid w:val="15043929"/>
    <w:rsid w:val="1576404B"/>
    <w:rsid w:val="15815D79"/>
    <w:rsid w:val="16662379"/>
    <w:rsid w:val="167B28A9"/>
    <w:rsid w:val="171D049B"/>
    <w:rsid w:val="171D0740"/>
    <w:rsid w:val="172569B1"/>
    <w:rsid w:val="173641FC"/>
    <w:rsid w:val="17933D71"/>
    <w:rsid w:val="17C82788"/>
    <w:rsid w:val="17DB0B90"/>
    <w:rsid w:val="17EA0886"/>
    <w:rsid w:val="18026BDA"/>
    <w:rsid w:val="18E42C52"/>
    <w:rsid w:val="191C2E55"/>
    <w:rsid w:val="1A652825"/>
    <w:rsid w:val="1A734007"/>
    <w:rsid w:val="1B77119D"/>
    <w:rsid w:val="1BD76F1B"/>
    <w:rsid w:val="1BDC43D4"/>
    <w:rsid w:val="1BE40409"/>
    <w:rsid w:val="1C13640F"/>
    <w:rsid w:val="1CE4307A"/>
    <w:rsid w:val="1CE56189"/>
    <w:rsid w:val="1D955C86"/>
    <w:rsid w:val="1DB8726E"/>
    <w:rsid w:val="1DC578A9"/>
    <w:rsid w:val="1E4C48D3"/>
    <w:rsid w:val="1F513D62"/>
    <w:rsid w:val="1F661079"/>
    <w:rsid w:val="1F744C6B"/>
    <w:rsid w:val="1F7677EE"/>
    <w:rsid w:val="1F843BBE"/>
    <w:rsid w:val="1F9F0145"/>
    <w:rsid w:val="1FF26823"/>
    <w:rsid w:val="207D067D"/>
    <w:rsid w:val="2097293E"/>
    <w:rsid w:val="20A110B9"/>
    <w:rsid w:val="20B2108C"/>
    <w:rsid w:val="212D3F87"/>
    <w:rsid w:val="216A5464"/>
    <w:rsid w:val="217C098D"/>
    <w:rsid w:val="21D86A4F"/>
    <w:rsid w:val="22266AF2"/>
    <w:rsid w:val="229D7A86"/>
    <w:rsid w:val="22A37A92"/>
    <w:rsid w:val="22E63A3F"/>
    <w:rsid w:val="23515AF3"/>
    <w:rsid w:val="237A70F6"/>
    <w:rsid w:val="23C10BC7"/>
    <w:rsid w:val="241E1A29"/>
    <w:rsid w:val="24396790"/>
    <w:rsid w:val="24537EED"/>
    <w:rsid w:val="24C565F9"/>
    <w:rsid w:val="2528727A"/>
    <w:rsid w:val="253F5552"/>
    <w:rsid w:val="25840E87"/>
    <w:rsid w:val="25BD41CA"/>
    <w:rsid w:val="25E06F50"/>
    <w:rsid w:val="26100DDB"/>
    <w:rsid w:val="26113F99"/>
    <w:rsid w:val="26311912"/>
    <w:rsid w:val="26423C42"/>
    <w:rsid w:val="26CA6195"/>
    <w:rsid w:val="26D74EAE"/>
    <w:rsid w:val="26EC307B"/>
    <w:rsid w:val="27564BB1"/>
    <w:rsid w:val="275E5869"/>
    <w:rsid w:val="276002FA"/>
    <w:rsid w:val="27970ADA"/>
    <w:rsid w:val="27A00315"/>
    <w:rsid w:val="27AC28F2"/>
    <w:rsid w:val="285C5F4C"/>
    <w:rsid w:val="28CF76BC"/>
    <w:rsid w:val="28DE6A93"/>
    <w:rsid w:val="28F63DD7"/>
    <w:rsid w:val="29937E30"/>
    <w:rsid w:val="29E02729"/>
    <w:rsid w:val="29F64C4D"/>
    <w:rsid w:val="2A0523AE"/>
    <w:rsid w:val="2A246997"/>
    <w:rsid w:val="2AE43299"/>
    <w:rsid w:val="2B085077"/>
    <w:rsid w:val="2B1C0157"/>
    <w:rsid w:val="2B363ED6"/>
    <w:rsid w:val="2B617E3A"/>
    <w:rsid w:val="2B73158D"/>
    <w:rsid w:val="2B841A44"/>
    <w:rsid w:val="2D2263C3"/>
    <w:rsid w:val="2D564D80"/>
    <w:rsid w:val="2DEB6943"/>
    <w:rsid w:val="2E0872AA"/>
    <w:rsid w:val="2E237529"/>
    <w:rsid w:val="2E3064FB"/>
    <w:rsid w:val="2EC01026"/>
    <w:rsid w:val="2EE72F56"/>
    <w:rsid w:val="2FF65695"/>
    <w:rsid w:val="30B76FD1"/>
    <w:rsid w:val="30E46200"/>
    <w:rsid w:val="313207FF"/>
    <w:rsid w:val="31735714"/>
    <w:rsid w:val="319D56C0"/>
    <w:rsid w:val="31BE429F"/>
    <w:rsid w:val="32420538"/>
    <w:rsid w:val="32453319"/>
    <w:rsid w:val="32564AAE"/>
    <w:rsid w:val="327628AC"/>
    <w:rsid w:val="335B1EAB"/>
    <w:rsid w:val="335D1E70"/>
    <w:rsid w:val="34BD43A1"/>
    <w:rsid w:val="350D5FFF"/>
    <w:rsid w:val="363A1869"/>
    <w:rsid w:val="36405D9A"/>
    <w:rsid w:val="368970CE"/>
    <w:rsid w:val="36B41266"/>
    <w:rsid w:val="371B5543"/>
    <w:rsid w:val="375F623D"/>
    <w:rsid w:val="376752D3"/>
    <w:rsid w:val="37E81D16"/>
    <w:rsid w:val="380B1723"/>
    <w:rsid w:val="386918E5"/>
    <w:rsid w:val="38A54AF3"/>
    <w:rsid w:val="395A7356"/>
    <w:rsid w:val="3A3F2057"/>
    <w:rsid w:val="3A462D44"/>
    <w:rsid w:val="3B5715C4"/>
    <w:rsid w:val="3C53732D"/>
    <w:rsid w:val="3C7326E5"/>
    <w:rsid w:val="3C797801"/>
    <w:rsid w:val="3CDC7009"/>
    <w:rsid w:val="3CE64F0E"/>
    <w:rsid w:val="3D877FF0"/>
    <w:rsid w:val="3DED79E5"/>
    <w:rsid w:val="3E144C71"/>
    <w:rsid w:val="3E1455CA"/>
    <w:rsid w:val="3EFC2C5D"/>
    <w:rsid w:val="3F181264"/>
    <w:rsid w:val="40331620"/>
    <w:rsid w:val="42063557"/>
    <w:rsid w:val="42576590"/>
    <w:rsid w:val="425C504B"/>
    <w:rsid w:val="42760BB9"/>
    <w:rsid w:val="42D9736A"/>
    <w:rsid w:val="42EA47FB"/>
    <w:rsid w:val="43531C63"/>
    <w:rsid w:val="436D52AE"/>
    <w:rsid w:val="43EF2D90"/>
    <w:rsid w:val="441F631B"/>
    <w:rsid w:val="44D62E4D"/>
    <w:rsid w:val="45112E73"/>
    <w:rsid w:val="45307038"/>
    <w:rsid w:val="4569792C"/>
    <w:rsid w:val="45C22E5F"/>
    <w:rsid w:val="45E54FEF"/>
    <w:rsid w:val="467D55A4"/>
    <w:rsid w:val="46E77879"/>
    <w:rsid w:val="47333D2F"/>
    <w:rsid w:val="479D2C3C"/>
    <w:rsid w:val="47C00B7F"/>
    <w:rsid w:val="4852479E"/>
    <w:rsid w:val="48BC6E83"/>
    <w:rsid w:val="48CC3B86"/>
    <w:rsid w:val="48E20647"/>
    <w:rsid w:val="48FA2765"/>
    <w:rsid w:val="497A550D"/>
    <w:rsid w:val="499C02D2"/>
    <w:rsid w:val="4A6718D3"/>
    <w:rsid w:val="4A9B7530"/>
    <w:rsid w:val="4B9F5E77"/>
    <w:rsid w:val="4C645AC2"/>
    <w:rsid w:val="4D290661"/>
    <w:rsid w:val="4DF601EE"/>
    <w:rsid w:val="4DF909E7"/>
    <w:rsid w:val="4E491C4D"/>
    <w:rsid w:val="4E8A3DE2"/>
    <w:rsid w:val="4FA42F1D"/>
    <w:rsid w:val="4FAC5B7B"/>
    <w:rsid w:val="4FDC1D27"/>
    <w:rsid w:val="50EA6DB9"/>
    <w:rsid w:val="51117A39"/>
    <w:rsid w:val="51601104"/>
    <w:rsid w:val="51826E79"/>
    <w:rsid w:val="51DB41E7"/>
    <w:rsid w:val="520225D0"/>
    <w:rsid w:val="520667E8"/>
    <w:rsid w:val="52095551"/>
    <w:rsid w:val="521F0944"/>
    <w:rsid w:val="522E5169"/>
    <w:rsid w:val="525D6895"/>
    <w:rsid w:val="5263712F"/>
    <w:rsid w:val="52833F82"/>
    <w:rsid w:val="528433A6"/>
    <w:rsid w:val="52F81CDA"/>
    <w:rsid w:val="530F6F65"/>
    <w:rsid w:val="538369CC"/>
    <w:rsid w:val="538E7EB7"/>
    <w:rsid w:val="53BE1D1C"/>
    <w:rsid w:val="53F56681"/>
    <w:rsid w:val="547F6534"/>
    <w:rsid w:val="54A3335C"/>
    <w:rsid w:val="55116593"/>
    <w:rsid w:val="55344AA7"/>
    <w:rsid w:val="559211A5"/>
    <w:rsid w:val="559E63C4"/>
    <w:rsid w:val="55AF5745"/>
    <w:rsid w:val="562C5CF0"/>
    <w:rsid w:val="56E248D2"/>
    <w:rsid w:val="57EC45C8"/>
    <w:rsid w:val="584E0E93"/>
    <w:rsid w:val="5857146B"/>
    <w:rsid w:val="589A637A"/>
    <w:rsid w:val="590F42C0"/>
    <w:rsid w:val="594A1204"/>
    <w:rsid w:val="59D900BD"/>
    <w:rsid w:val="59DB6968"/>
    <w:rsid w:val="5A394002"/>
    <w:rsid w:val="5A8007AD"/>
    <w:rsid w:val="5A8E15BB"/>
    <w:rsid w:val="5AC04FB8"/>
    <w:rsid w:val="5B3741FA"/>
    <w:rsid w:val="5B46003E"/>
    <w:rsid w:val="5B531E50"/>
    <w:rsid w:val="5B743E4F"/>
    <w:rsid w:val="5B8547BF"/>
    <w:rsid w:val="5BA222A8"/>
    <w:rsid w:val="5C2200B5"/>
    <w:rsid w:val="5C3F228E"/>
    <w:rsid w:val="5CCC1A69"/>
    <w:rsid w:val="5D1369AF"/>
    <w:rsid w:val="5D282FD8"/>
    <w:rsid w:val="5D344929"/>
    <w:rsid w:val="5DA273C2"/>
    <w:rsid w:val="5DD3187D"/>
    <w:rsid w:val="5DFB4519"/>
    <w:rsid w:val="5E287281"/>
    <w:rsid w:val="5E5941C2"/>
    <w:rsid w:val="5E5A2AAE"/>
    <w:rsid w:val="5E816F9F"/>
    <w:rsid w:val="5EDC5067"/>
    <w:rsid w:val="5F0F6DE6"/>
    <w:rsid w:val="5F2F3D8A"/>
    <w:rsid w:val="5F366427"/>
    <w:rsid w:val="5F58126C"/>
    <w:rsid w:val="5F6413DA"/>
    <w:rsid w:val="5FB96FD3"/>
    <w:rsid w:val="60A41FFD"/>
    <w:rsid w:val="60AA3958"/>
    <w:rsid w:val="61374F94"/>
    <w:rsid w:val="61B466D0"/>
    <w:rsid w:val="61D65918"/>
    <w:rsid w:val="62076729"/>
    <w:rsid w:val="62E7745A"/>
    <w:rsid w:val="62F05404"/>
    <w:rsid w:val="639A3175"/>
    <w:rsid w:val="64082DB7"/>
    <w:rsid w:val="644A57BB"/>
    <w:rsid w:val="644B5969"/>
    <w:rsid w:val="64646A09"/>
    <w:rsid w:val="64AA3122"/>
    <w:rsid w:val="64BA39AD"/>
    <w:rsid w:val="65230548"/>
    <w:rsid w:val="666B4027"/>
    <w:rsid w:val="66814D82"/>
    <w:rsid w:val="66E457D0"/>
    <w:rsid w:val="674666BF"/>
    <w:rsid w:val="67D30150"/>
    <w:rsid w:val="687D0734"/>
    <w:rsid w:val="68CC31FF"/>
    <w:rsid w:val="68E930BC"/>
    <w:rsid w:val="68EB3F31"/>
    <w:rsid w:val="6907398D"/>
    <w:rsid w:val="69DA42C1"/>
    <w:rsid w:val="6A5D35D1"/>
    <w:rsid w:val="6A771E82"/>
    <w:rsid w:val="6AC93BA5"/>
    <w:rsid w:val="6B431DFD"/>
    <w:rsid w:val="6B567C1F"/>
    <w:rsid w:val="6B8B2053"/>
    <w:rsid w:val="6B956B71"/>
    <w:rsid w:val="6B9D4CFC"/>
    <w:rsid w:val="6BAA0D15"/>
    <w:rsid w:val="6BEF07C4"/>
    <w:rsid w:val="6C0D5AE7"/>
    <w:rsid w:val="6C37683D"/>
    <w:rsid w:val="6C502A1D"/>
    <w:rsid w:val="6D4843A9"/>
    <w:rsid w:val="6D8870B3"/>
    <w:rsid w:val="6D9652A3"/>
    <w:rsid w:val="6EAF0CD5"/>
    <w:rsid w:val="6EE21608"/>
    <w:rsid w:val="6EEE7563"/>
    <w:rsid w:val="6F3B7164"/>
    <w:rsid w:val="6FCD2814"/>
    <w:rsid w:val="7095031B"/>
    <w:rsid w:val="714A64F7"/>
    <w:rsid w:val="71545DB2"/>
    <w:rsid w:val="717F32EF"/>
    <w:rsid w:val="71A07B79"/>
    <w:rsid w:val="71BD20D3"/>
    <w:rsid w:val="71ED362B"/>
    <w:rsid w:val="72026CD8"/>
    <w:rsid w:val="72271155"/>
    <w:rsid w:val="72FC7FB3"/>
    <w:rsid w:val="73271213"/>
    <w:rsid w:val="73E6120B"/>
    <w:rsid w:val="747D1D08"/>
    <w:rsid w:val="74B55262"/>
    <w:rsid w:val="74CA73BF"/>
    <w:rsid w:val="759B313D"/>
    <w:rsid w:val="75C60775"/>
    <w:rsid w:val="75EC4A8E"/>
    <w:rsid w:val="76B15B00"/>
    <w:rsid w:val="76BF42E4"/>
    <w:rsid w:val="76D3487E"/>
    <w:rsid w:val="786A07F5"/>
    <w:rsid w:val="7928054B"/>
    <w:rsid w:val="792A35FB"/>
    <w:rsid w:val="79B70C5A"/>
    <w:rsid w:val="7A076C14"/>
    <w:rsid w:val="7B634D2B"/>
    <w:rsid w:val="7CAE6326"/>
    <w:rsid w:val="7CD80E84"/>
    <w:rsid w:val="7D5955BD"/>
    <w:rsid w:val="7D701E6D"/>
    <w:rsid w:val="7D7F59ED"/>
    <w:rsid w:val="7E603FDD"/>
    <w:rsid w:val="7E753453"/>
    <w:rsid w:val="7EFE42E2"/>
    <w:rsid w:val="7F03037F"/>
    <w:rsid w:val="7F4255AA"/>
    <w:rsid w:val="7F93632E"/>
    <w:rsid w:val="7F966D88"/>
    <w:rsid w:val="7FA010ED"/>
    <w:rsid w:val="7FBB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semiHidden/>
    <w:unhideWhenUsed/>
    <w:qFormat/>
    <w:uiPriority w:val="99"/>
    <w:rPr>
      <w:rFonts w:ascii="宋体"/>
      <w:sz w:val="18"/>
      <w:szCs w:val="18"/>
    </w:rPr>
  </w:style>
  <w:style w:type="paragraph" w:styleId="4">
    <w:name w:val="footer"/>
    <w:basedOn w:val="1"/>
    <w:link w:val="14"/>
    <w:unhideWhenUsed/>
    <w:qFormat/>
    <w:uiPriority w:val="0"/>
    <w:pPr>
      <w:tabs>
        <w:tab w:val="center" w:pos="4153"/>
        <w:tab w:val="right" w:pos="8306"/>
      </w:tabs>
      <w:snapToGrid w:val="0"/>
      <w:jc w:val="left"/>
    </w:pPr>
    <w:rPr>
      <w:sz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page number"/>
    <w:basedOn w:val="7"/>
    <w:unhideWhenUsed/>
    <w:qFormat/>
    <w:uiPriority w:val="99"/>
  </w:style>
  <w:style w:type="character" w:styleId="10">
    <w:name w:val="Emphasis"/>
    <w:basedOn w:val="7"/>
    <w:qFormat/>
    <w:uiPriority w:val="20"/>
    <w:rPr>
      <w:i/>
      <w:iCs/>
    </w:rPr>
  </w:style>
  <w:style w:type="character" w:styleId="11">
    <w:name w:val="Hyperlink"/>
    <w:basedOn w:val="7"/>
    <w:unhideWhenUsed/>
    <w:qFormat/>
    <w:uiPriority w:val="99"/>
    <w:rPr>
      <w:color w:val="0000FF"/>
      <w:u w:val="single"/>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3">
    <w:name w:val="标题 2 Char"/>
    <w:basedOn w:val="7"/>
    <w:link w:val="2"/>
    <w:qFormat/>
    <w:uiPriority w:val="9"/>
    <w:rPr>
      <w:rFonts w:ascii="宋体" w:hAnsi="宋体" w:eastAsia="宋体" w:cs="宋体"/>
      <w:b/>
      <w:bCs/>
      <w:kern w:val="0"/>
      <w:sz w:val="36"/>
      <w:szCs w:val="36"/>
    </w:rPr>
  </w:style>
  <w:style w:type="character" w:customStyle="1" w:styleId="14">
    <w:name w:val="页脚 Char"/>
    <w:basedOn w:val="7"/>
    <w:link w:val="4"/>
    <w:qFormat/>
    <w:uiPriority w:val="0"/>
    <w:rPr>
      <w:rFonts w:ascii="Times New Roman" w:hAnsi="Times New Roman" w:eastAsia="宋体" w:cs="Times New Roman"/>
      <w:sz w:val="18"/>
      <w:szCs w:val="24"/>
    </w:rPr>
  </w:style>
  <w:style w:type="character" w:customStyle="1" w:styleId="15">
    <w:name w:val="文档结构图 Char"/>
    <w:basedOn w:val="7"/>
    <w:link w:val="3"/>
    <w:semiHidden/>
    <w:qFormat/>
    <w:uiPriority w:val="99"/>
    <w:rPr>
      <w:rFonts w:ascii="宋体" w:hAnsi="Times New Roman" w:eastAsia="宋体" w:cs="Times New Roman"/>
      <w:sz w:val="18"/>
      <w:szCs w:val="18"/>
    </w:rPr>
  </w:style>
  <w:style w:type="character" w:customStyle="1" w:styleId="16">
    <w:name w:val="页眉 Char"/>
    <w:basedOn w:val="7"/>
    <w:link w:val="5"/>
    <w:semiHidden/>
    <w:qFormat/>
    <w:uiPriority w:val="99"/>
    <w:rPr>
      <w:rFonts w:ascii="Times New Roman" w:hAnsi="Times New Roman" w:eastAsia="宋体" w:cs="Times New Roman"/>
      <w:sz w:val="18"/>
      <w:szCs w:val="18"/>
    </w:rPr>
  </w:style>
  <w:style w:type="paragraph" w:customStyle="1" w:styleId="17">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DA24BC-3FE6-4148-91F5-BDA61A5A77F5}">
  <ds:schemaRefs/>
</ds:datastoreItem>
</file>

<file path=docProps/app.xml><?xml version="1.0" encoding="utf-8"?>
<Properties xmlns="http://schemas.openxmlformats.org/officeDocument/2006/extended-properties" xmlns:vt="http://schemas.openxmlformats.org/officeDocument/2006/docPropsVTypes">
  <Template>Normal</Template>
  <Pages>12</Pages>
  <Words>5045</Words>
  <Characters>5669</Characters>
  <Lines>7</Lines>
  <Paragraphs>11</Paragraphs>
  <TotalTime>73</TotalTime>
  <ScaleCrop>false</ScaleCrop>
  <LinksUpToDate>false</LinksUpToDate>
  <CharactersWithSpaces>5856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2019-03-12T00:45:00Z</dcterms:created>
  <dc:creator>Administrator</dc:creator>
  <cp:lastModifiedBy>随风而起</cp:lastModifiedBy>
  <cp:lastPrinted>2021-04-26T08:29:00Z</cp:lastPrinted>
  <dcterms:modified xsi:type="dcterms:W3CDTF">2024-09-10T03:48:39Z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2C026938DE9248F09E5FA20673144E58</vt:lpwstr>
  </property>
</Properties>
</file>