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80" w:firstLineChars="1400"/>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2"/>
        <w:tblW w:w="10598" w:type="dxa"/>
        <w:jc w:val="center"/>
        <w:tblLayout w:type="fixed"/>
        <w:tblCellMar>
          <w:top w:w="0" w:type="dxa"/>
          <w:left w:w="108" w:type="dxa"/>
          <w:bottom w:w="0" w:type="dxa"/>
          <w:right w:w="108" w:type="dxa"/>
        </w:tblCellMar>
      </w:tblPr>
      <w:tblGrid>
        <w:gridCol w:w="679"/>
        <w:gridCol w:w="645"/>
        <w:gridCol w:w="720"/>
        <w:gridCol w:w="585"/>
        <w:gridCol w:w="855"/>
        <w:gridCol w:w="604"/>
        <w:gridCol w:w="2874"/>
        <w:gridCol w:w="2763"/>
        <w:gridCol w:w="873"/>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60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28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2874"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63"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873"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287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873"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873"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1</w:t>
            </w:r>
            <w:r>
              <w:rPr>
                <w:rFonts w:hint="eastAsia" w:cs="宋体"/>
                <w:kern w:val="0"/>
                <w:sz w:val="24"/>
                <w:lang w:val="en-US" w:eastAsia="zh-CN"/>
              </w:rPr>
              <w:t>3</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873"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873"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604"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63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873" w:type="dxa"/>
            <w:tcBorders>
              <w:top w:val="nil"/>
              <w:left w:val="single" w:color="auto" w:sz="4" w:space="0"/>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604" w:type="dxa"/>
            <w:vMerge w:val="continue"/>
            <w:tcBorders>
              <w:top w:val="nil"/>
              <w:left w:val="single" w:color="auto" w:sz="4" w:space="0"/>
              <w:bottom w:val="nil"/>
              <w:right w:val="single" w:color="auto" w:sz="4" w:space="0"/>
            </w:tcBorders>
            <w:vAlign w:val="center"/>
          </w:tcPr>
          <w:p/>
        </w:tc>
        <w:tc>
          <w:tcPr>
            <w:tcW w:w="5637"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873" w:type="dxa"/>
            <w:tcBorders>
              <w:top w:val="nil"/>
              <w:left w:val="single" w:color="auto" w:sz="4" w:space="0"/>
              <w:bottom w:val="nil"/>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604"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2874"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63"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auto" w:sz="4" w:space="0"/>
              <w:right w:val="single" w:color="auto" w:sz="4" w:space="0"/>
            </w:tcBorders>
            <w:vAlign w:val="center"/>
          </w:tcPr>
          <w:p/>
        </w:tc>
        <w:tc>
          <w:tcPr>
            <w:tcW w:w="720" w:type="dxa"/>
            <w:vMerge w:val="continue"/>
            <w:tcBorders>
              <w:top w:val="nil"/>
              <w:left w:val="single" w:color="auto" w:sz="4" w:space="0"/>
              <w:bottom w:val="single" w:color="auto" w:sz="4" w:space="0"/>
              <w:right w:val="single" w:color="auto" w:sz="4" w:space="0"/>
            </w:tcBorders>
            <w:vAlign w:val="center"/>
          </w:tcPr>
          <w:p/>
        </w:tc>
        <w:tc>
          <w:tcPr>
            <w:tcW w:w="585" w:type="dxa"/>
            <w:vMerge w:val="continue"/>
            <w:tcBorders>
              <w:top w:val="nil"/>
              <w:left w:val="single" w:color="auto" w:sz="4" w:space="0"/>
              <w:bottom w:val="single" w:color="auto"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604"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2874" w:type="dxa"/>
            <w:tcBorders>
              <w:top w:val="nil"/>
              <w:left w:val="nil"/>
              <w:bottom w:val="single" w:color="auto" w:sz="4" w:space="0"/>
              <w:right w:val="single" w:color="auto" w:sz="4" w:space="0"/>
            </w:tcBorders>
            <w:vAlign w:val="center"/>
          </w:tcPr>
          <w:p>
            <w:pPr>
              <w:widowControl/>
              <w:spacing w:line="300" w:lineRule="exact"/>
              <w:jc w:val="left"/>
              <w:rPr>
                <w:rFonts w:eastAsia="仿宋_GB2312" w:cs="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pPr>
              <w:widowControl/>
              <w:spacing w:line="300" w:lineRule="exact"/>
              <w:jc w:val="left"/>
              <w:rPr>
                <w:rFonts w:eastAsia="仿宋_GB2312" w:cs="仿宋_GB2312"/>
                <w:kern w:val="0"/>
                <w:sz w:val="20"/>
                <w:szCs w:val="20"/>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pPr>
              <w:widowControl/>
              <w:spacing w:line="300" w:lineRule="exact"/>
              <w:jc w:val="left"/>
              <w:rPr>
                <w:rFonts w:eastAsia="仿宋_GB2312" w:cs="仿宋_GB2312"/>
                <w:kern w:val="0"/>
                <w:sz w:val="20"/>
                <w:szCs w:val="20"/>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63"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873" w:type="dxa"/>
            <w:tcBorders>
              <w:top w:val="nil"/>
              <w:left w:val="nil"/>
              <w:bottom w:val="single" w:color="auto" w:sz="4" w:space="0"/>
              <w:right w:val="single" w:color="auto" w:sz="4" w:space="0"/>
            </w:tcBorders>
            <w:vAlign w:val="center"/>
          </w:tcPr>
          <w:p>
            <w:pPr>
              <w:widowControl/>
              <w:spacing w:line="300" w:lineRule="exact"/>
              <w:jc w:val="left"/>
              <w:rPr>
                <w:rFonts w:hint="eastAsia" w:eastAsia="宋体"/>
                <w:kern w:val="0"/>
                <w:sz w:val="24"/>
                <w:lang w:val="en-US" w:eastAsia="zh-CN"/>
              </w:rPr>
            </w:pPr>
            <w:r>
              <w:rPr>
                <w:rFonts w:hint="eastAsia" w:cs="宋体"/>
                <w:kern w:val="0"/>
                <w:sz w:val="24"/>
              </w:rPr>
              <w:t>　</w:t>
            </w:r>
            <w:r>
              <w:rPr>
                <w:rFonts w:hint="eastAsia" w:cs="宋体"/>
                <w:kern w:val="0"/>
                <w:sz w:val="24"/>
                <w:lang w:val="en-US" w:eastAsia="zh-CN"/>
              </w:rPr>
              <w:t>4</w:t>
            </w:r>
          </w:p>
        </w:tc>
      </w:tr>
      <w:tr>
        <w:tblPrEx>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vAlign w:val="center"/>
          </w:tcPr>
          <w:p/>
        </w:tc>
        <w:tc>
          <w:tcPr>
            <w:tcW w:w="645" w:type="dxa"/>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tc>
        <w:tc>
          <w:tcPr>
            <w:tcW w:w="585" w:type="dxa"/>
            <w:tcBorders>
              <w:top w:val="single" w:color="auto" w:sz="4" w:space="0"/>
              <w:left w:val="single" w:color="auto" w:sz="4" w:space="0"/>
              <w:bottom w:val="single" w:color="auto" w:sz="4" w:space="0"/>
              <w:right w:val="single" w:color="auto" w:sz="4" w:space="0"/>
            </w:tcBorders>
            <w:vAlign w:val="center"/>
          </w:tc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lang w:eastAsia="zh-CN"/>
              </w:rPr>
              <w:t>合计</w:t>
            </w: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eastAsia="仿宋_GB2312"/>
                <w:kern w:val="0"/>
                <w:sz w:val="20"/>
                <w:szCs w:val="20"/>
                <w:lang w:val="en-US" w:eastAsia="zh-CN"/>
              </w:rPr>
            </w:pPr>
            <w:r>
              <w:rPr>
                <w:rFonts w:hint="eastAsia" w:eastAsia="仿宋_GB2312"/>
                <w:kern w:val="0"/>
                <w:sz w:val="20"/>
                <w:szCs w:val="20"/>
                <w:lang w:val="en-US" w:eastAsia="zh-CN"/>
              </w:rPr>
              <w:t>100</w:t>
            </w:r>
          </w:p>
        </w:tc>
        <w:tc>
          <w:tcPr>
            <w:tcW w:w="28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eastAsia="仿宋_GB2312" w:cs="仿宋_GB2312"/>
                <w:kern w:val="0"/>
                <w:sz w:val="20"/>
                <w:szCs w:val="20"/>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eastAsia="宋体" w:cs="宋体"/>
                <w:kern w:val="0"/>
                <w:sz w:val="24"/>
                <w:lang w:val="en-US" w:eastAsia="zh-CN"/>
              </w:rPr>
            </w:pPr>
            <w:r>
              <w:rPr>
                <w:rFonts w:hint="eastAsia" w:cs="宋体"/>
                <w:kern w:val="0"/>
                <w:sz w:val="24"/>
                <w:lang w:val="en-US" w:eastAsia="zh-CN"/>
              </w:rPr>
              <w:t>83</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Yzk1NTY1MzBkNzkxNWU3MTRiMmE4NDZmZWQyMDAifQ=="/>
  </w:docVars>
  <w:rsids>
    <w:rsidRoot w:val="0067704B"/>
    <w:rsid w:val="001F6A39"/>
    <w:rsid w:val="0067704B"/>
    <w:rsid w:val="03CF3DA1"/>
    <w:rsid w:val="16664401"/>
    <w:rsid w:val="2ABB6ED0"/>
    <w:rsid w:val="393E6686"/>
    <w:rsid w:val="3EBA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290</Words>
  <Characters>1656</Characters>
  <Lines>13</Lines>
  <Paragraphs>3</Paragraphs>
  <TotalTime>19</TotalTime>
  <ScaleCrop>false</ScaleCrop>
  <LinksUpToDate>false</LinksUpToDate>
  <CharactersWithSpaces>1943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2022-08-18T11:16:00Z</dcterms:created>
  <dc:creator>Administrator</dc:creator>
  <cp:lastModifiedBy>Administrator</cp:lastModifiedBy>
  <dcterms:modified xsi:type="dcterms:W3CDTF">2022-08-20T02:48:33Z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2685EB24A5174FBC9A6A6B4915F94260</vt:lpwstr>
  </property>
</Properties>
</file>