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sz w:val="32"/>
          <w:szCs w:val="32"/>
        </w:rPr>
      </w:pPr>
    </w:p>
    <w:p>
      <w:pPr>
        <w:spacing w:line="600" w:lineRule="exact"/>
        <w:jc w:val="center"/>
        <w:rPr>
          <w:rFonts w:eastAsia="方正小标宋_GBK"/>
          <w:sz w:val="32"/>
          <w:szCs w:val="32"/>
        </w:rPr>
      </w:pPr>
      <w:r>
        <w:rPr>
          <w:rFonts w:hint="eastAsia" w:ascii="黑体" w:hAnsi="黑体" w:eastAsia="黑体" w:cs="黑体"/>
          <w:sz w:val="44"/>
          <w:szCs w:val="44"/>
        </w:rPr>
        <w:t>20</w:t>
      </w:r>
      <w:r>
        <w:rPr>
          <w:rFonts w:hint="eastAsia" w:ascii="黑体" w:hAnsi="黑体" w:eastAsia="黑体" w:cs="黑体"/>
          <w:sz w:val="44"/>
          <w:szCs w:val="44"/>
          <w:lang w:val="en-US" w:eastAsia="zh-CN"/>
        </w:rPr>
        <w:t>19</w:t>
      </w:r>
      <w:r>
        <w:rPr>
          <w:rFonts w:hint="eastAsia" w:ascii="黑体" w:hAnsi="黑体" w:eastAsia="黑体" w:cs="黑体"/>
          <w:sz w:val="44"/>
          <w:szCs w:val="44"/>
        </w:rPr>
        <w:t>年预算重要事项解释说明</w:t>
      </w:r>
    </w:p>
    <w:p>
      <w:pPr>
        <w:spacing w:line="600" w:lineRule="exact"/>
        <w:rPr>
          <w:sz w:val="32"/>
          <w:szCs w:val="32"/>
        </w:rPr>
      </w:pPr>
    </w:p>
    <w:p>
      <w:pPr>
        <w:spacing w:line="600" w:lineRule="exact"/>
        <w:ind w:firstLine="640" w:firstLineChars="200"/>
        <w:rPr>
          <w:rFonts w:eastAsia="黑体"/>
          <w:sz w:val="32"/>
          <w:szCs w:val="32"/>
        </w:rPr>
      </w:pPr>
      <w:r>
        <w:rPr>
          <w:rFonts w:eastAsia="黑体"/>
          <w:sz w:val="32"/>
          <w:szCs w:val="32"/>
        </w:rPr>
        <w:t>一、20</w:t>
      </w:r>
      <w:r>
        <w:rPr>
          <w:rFonts w:hint="eastAsia" w:eastAsia="黑体"/>
          <w:sz w:val="32"/>
          <w:szCs w:val="32"/>
          <w:lang w:val="en-US" w:eastAsia="zh-CN"/>
        </w:rPr>
        <w:t>19</w:t>
      </w:r>
      <w:r>
        <w:rPr>
          <w:rFonts w:eastAsia="黑体"/>
          <w:sz w:val="32"/>
          <w:szCs w:val="32"/>
        </w:rPr>
        <w:t>年一般公共预算收入预算说明</w:t>
      </w:r>
    </w:p>
    <w:p>
      <w:pPr>
        <w:pStyle w:val="10"/>
        <w:spacing w:line="360" w:lineRule="auto"/>
        <w:ind w:firstLine="640"/>
        <w:rPr>
          <w:rFonts w:hint="eastAsia" w:ascii="仿宋" w:hAnsi="仿宋" w:eastAsia="仿宋" w:cs="仿宋"/>
          <w:sz w:val="32"/>
          <w:szCs w:val="32"/>
        </w:rPr>
      </w:pPr>
      <w:r>
        <w:rPr>
          <w:rFonts w:hint="eastAsia" w:ascii="仿宋" w:hAnsi="仿宋" w:eastAsia="仿宋" w:cs="仿宋"/>
          <w:sz w:val="32"/>
          <w:szCs w:val="32"/>
        </w:rPr>
        <w:t>今年财政总收入和本级一般公共预算收入均按增长</w:t>
      </w:r>
      <w:r>
        <w:rPr>
          <w:rFonts w:hint="eastAsia" w:ascii="仿宋" w:hAnsi="仿宋" w:eastAsia="仿宋" w:cs="仿宋"/>
          <w:sz w:val="32"/>
          <w:szCs w:val="32"/>
          <w:lang w:val="en-US" w:eastAsia="zh-CN"/>
        </w:rPr>
        <w:t>13</w:t>
      </w:r>
      <w:r>
        <w:rPr>
          <w:rFonts w:hint="eastAsia" w:ascii="仿宋" w:hAnsi="仿宋" w:eastAsia="仿宋" w:cs="仿宋"/>
          <w:sz w:val="32"/>
          <w:szCs w:val="32"/>
        </w:rPr>
        <w:t>%左右安排</w:t>
      </w:r>
      <w:r>
        <w:rPr>
          <w:rFonts w:hint="eastAsia" w:ascii="仿宋" w:hAnsi="仿宋" w:eastAsia="仿宋" w:cs="仿宋"/>
          <w:kern w:val="0"/>
          <w:sz w:val="32"/>
          <w:szCs w:val="32"/>
        </w:rPr>
        <w:t>。据此，本级一般公共预算收入预计为</w:t>
      </w:r>
      <w:r>
        <w:rPr>
          <w:rFonts w:hint="eastAsia" w:ascii="仿宋" w:hAnsi="仿宋" w:eastAsia="仿宋" w:cs="仿宋"/>
          <w:kern w:val="0"/>
          <w:sz w:val="32"/>
          <w:szCs w:val="32"/>
          <w:lang w:val="en-US" w:eastAsia="zh-CN"/>
        </w:rPr>
        <w:t>33210</w:t>
      </w:r>
      <w:r>
        <w:rPr>
          <w:rFonts w:hint="eastAsia" w:ascii="仿宋" w:hAnsi="仿宋" w:eastAsia="仿宋" w:cs="仿宋"/>
          <w:kern w:val="0"/>
          <w:sz w:val="32"/>
          <w:szCs w:val="32"/>
        </w:rPr>
        <w:t>万元，非税收入占地方收入比例控制在3</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%以内。</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本级一般公共预算地方收入</w:t>
      </w:r>
      <w:r>
        <w:rPr>
          <w:rFonts w:hint="eastAsia" w:ascii="仿宋" w:hAnsi="仿宋" w:eastAsia="仿宋" w:cs="仿宋"/>
          <w:sz w:val="32"/>
          <w:szCs w:val="32"/>
          <w:lang w:val="en-US" w:eastAsia="zh-CN"/>
        </w:rPr>
        <w:t>33210</w:t>
      </w:r>
      <w:r>
        <w:rPr>
          <w:rFonts w:hint="eastAsia" w:ascii="仿宋" w:hAnsi="仿宋" w:eastAsia="仿宋" w:cs="仿宋"/>
          <w:sz w:val="32"/>
          <w:szCs w:val="32"/>
        </w:rPr>
        <w:t>万元，加上级补助收入</w:t>
      </w:r>
      <w:r>
        <w:rPr>
          <w:rFonts w:hint="eastAsia" w:ascii="仿宋" w:hAnsi="仿宋" w:eastAsia="仿宋" w:cs="仿宋"/>
          <w:sz w:val="32"/>
          <w:szCs w:val="32"/>
          <w:lang w:val="en-US" w:eastAsia="zh-CN"/>
        </w:rPr>
        <w:t>204833</w:t>
      </w:r>
      <w:r>
        <w:rPr>
          <w:rFonts w:hint="eastAsia" w:ascii="仿宋" w:hAnsi="仿宋" w:eastAsia="仿宋" w:cs="仿宋"/>
          <w:sz w:val="32"/>
          <w:szCs w:val="32"/>
        </w:rPr>
        <w:t>万元，调入资金</w:t>
      </w:r>
      <w:r>
        <w:rPr>
          <w:rFonts w:hint="eastAsia" w:ascii="仿宋" w:hAnsi="仿宋" w:eastAsia="仿宋" w:cs="仿宋"/>
          <w:sz w:val="32"/>
          <w:szCs w:val="32"/>
          <w:lang w:val="en-US" w:eastAsia="zh-CN"/>
        </w:rPr>
        <w:t>27309</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6170</w:t>
      </w:r>
      <w:r>
        <w:rPr>
          <w:rFonts w:hint="eastAsia" w:ascii="仿宋" w:hAnsi="仿宋" w:eastAsia="仿宋" w:cs="仿宋"/>
          <w:sz w:val="32"/>
          <w:szCs w:val="32"/>
        </w:rPr>
        <w:t>万元，收入合计2</w:t>
      </w:r>
      <w:r>
        <w:rPr>
          <w:rFonts w:hint="eastAsia" w:ascii="仿宋" w:hAnsi="仿宋" w:eastAsia="仿宋" w:cs="仿宋"/>
          <w:sz w:val="32"/>
          <w:szCs w:val="32"/>
          <w:lang w:val="en-US" w:eastAsia="zh-CN"/>
        </w:rPr>
        <w:t>71522</w:t>
      </w:r>
      <w:r>
        <w:rPr>
          <w:rFonts w:hint="eastAsia" w:ascii="仿宋" w:hAnsi="仿宋" w:eastAsia="仿宋" w:cs="仿宋"/>
          <w:sz w:val="32"/>
          <w:szCs w:val="32"/>
        </w:rPr>
        <w:t>万元。</w:t>
      </w:r>
    </w:p>
    <w:p>
      <w:pPr>
        <w:spacing w:line="600" w:lineRule="exact"/>
        <w:ind w:firstLine="640" w:firstLineChars="200"/>
        <w:rPr>
          <w:rFonts w:hint="eastAsia" w:eastAsia="黑体"/>
          <w:sz w:val="32"/>
          <w:szCs w:val="32"/>
        </w:rPr>
      </w:pPr>
      <w:r>
        <w:rPr>
          <w:rFonts w:hint="eastAsia" w:eastAsia="黑体"/>
          <w:sz w:val="32"/>
          <w:szCs w:val="32"/>
        </w:rPr>
        <w:t>二、20</w:t>
      </w:r>
      <w:r>
        <w:rPr>
          <w:rFonts w:hint="eastAsia" w:eastAsia="黑体"/>
          <w:sz w:val="32"/>
          <w:szCs w:val="32"/>
          <w:lang w:val="en-US" w:eastAsia="zh-CN"/>
        </w:rPr>
        <w:t>19</w:t>
      </w:r>
      <w:r>
        <w:rPr>
          <w:rFonts w:hint="eastAsia" w:eastAsia="黑体"/>
          <w:sz w:val="32"/>
          <w:szCs w:val="32"/>
        </w:rPr>
        <w:t>年一般公共预算支出预算说明</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安排本级一般公共预算支出2</w:t>
      </w:r>
      <w:r>
        <w:rPr>
          <w:rFonts w:hint="eastAsia" w:ascii="仿宋" w:hAnsi="仿宋" w:eastAsia="仿宋" w:cs="仿宋"/>
          <w:sz w:val="32"/>
          <w:szCs w:val="32"/>
          <w:lang w:val="en-US" w:eastAsia="zh-CN"/>
        </w:rPr>
        <w:t>64088</w:t>
      </w:r>
      <w:r>
        <w:rPr>
          <w:rFonts w:hint="eastAsia" w:ascii="仿宋" w:hAnsi="仿宋" w:eastAsia="仿宋" w:cs="仿宋"/>
          <w:sz w:val="32"/>
          <w:szCs w:val="32"/>
        </w:rPr>
        <w:t>万元，上解支出</w:t>
      </w:r>
      <w:r>
        <w:rPr>
          <w:rFonts w:hint="eastAsia" w:ascii="仿宋" w:hAnsi="仿宋" w:eastAsia="仿宋" w:cs="仿宋"/>
          <w:sz w:val="32"/>
          <w:szCs w:val="32"/>
          <w:lang w:val="en-US" w:eastAsia="zh-CN"/>
        </w:rPr>
        <w:t>2384</w:t>
      </w:r>
      <w:r>
        <w:rPr>
          <w:rFonts w:hint="eastAsia" w:ascii="仿宋" w:hAnsi="仿宋" w:eastAsia="仿宋" w:cs="仿宋"/>
          <w:sz w:val="32"/>
          <w:szCs w:val="32"/>
        </w:rPr>
        <w:t>万元，债务还本支出</w:t>
      </w:r>
      <w:r>
        <w:rPr>
          <w:rFonts w:hint="eastAsia" w:ascii="仿宋" w:hAnsi="仿宋" w:eastAsia="仿宋" w:cs="仿宋"/>
          <w:sz w:val="32"/>
          <w:szCs w:val="32"/>
          <w:lang w:val="en-US" w:eastAsia="zh-CN"/>
        </w:rPr>
        <w:t>5050</w:t>
      </w:r>
      <w:r>
        <w:rPr>
          <w:rFonts w:hint="eastAsia" w:ascii="仿宋" w:hAnsi="仿宋" w:eastAsia="仿宋" w:cs="仿宋"/>
          <w:sz w:val="32"/>
          <w:szCs w:val="32"/>
        </w:rPr>
        <w:t>万元，支出合计2</w:t>
      </w:r>
      <w:r>
        <w:rPr>
          <w:rFonts w:hint="eastAsia" w:ascii="仿宋" w:hAnsi="仿宋" w:eastAsia="仿宋" w:cs="仿宋"/>
          <w:sz w:val="32"/>
          <w:szCs w:val="32"/>
          <w:lang w:val="en-US" w:eastAsia="zh-CN"/>
        </w:rPr>
        <w:t>71522</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600" w:lineRule="exact"/>
        <w:ind w:firstLine="640" w:firstLineChars="200"/>
        <w:rPr>
          <w:rFonts w:hint="eastAsia" w:eastAsia="黑体"/>
          <w:sz w:val="32"/>
          <w:szCs w:val="32"/>
        </w:rPr>
      </w:pPr>
      <w:r>
        <w:rPr>
          <w:rFonts w:hint="eastAsia" w:eastAsia="黑体"/>
          <w:sz w:val="32"/>
          <w:szCs w:val="32"/>
          <w:lang w:eastAsia="zh-CN"/>
        </w:rPr>
        <w:t>三</w:t>
      </w:r>
      <w:r>
        <w:rPr>
          <w:rFonts w:hint="eastAsia" w:eastAsia="黑体"/>
          <w:sz w:val="32"/>
          <w:szCs w:val="32"/>
        </w:rPr>
        <w:t>、20</w:t>
      </w:r>
      <w:r>
        <w:rPr>
          <w:rFonts w:hint="eastAsia" w:eastAsia="黑体"/>
          <w:sz w:val="32"/>
          <w:szCs w:val="32"/>
          <w:lang w:val="en-US" w:eastAsia="zh-CN"/>
        </w:rPr>
        <w:t>19</w:t>
      </w:r>
      <w:r>
        <w:rPr>
          <w:rFonts w:hint="eastAsia" w:eastAsia="黑体"/>
          <w:sz w:val="32"/>
          <w:szCs w:val="32"/>
        </w:rPr>
        <w:t>年税收返还和转移支付预算说明</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于我县各乡镇经济薄弱，财源匮乏，没有设立金库的经济基础，我县对乡镇财政管理执行的是一个部门预算管理体制，没有对其有税收返还、转移支付资金安排，预算所指的返还性收入、转移性收入是省财政对我县的补助收入。</w:t>
      </w:r>
    </w:p>
    <w:p>
      <w:pPr>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sz w:val="32"/>
          <w:szCs w:val="32"/>
          <w:lang w:val="en-US" w:eastAsia="zh-CN"/>
        </w:rPr>
        <w:t>2019年</w:t>
      </w:r>
      <w:r>
        <w:rPr>
          <w:rFonts w:hint="eastAsia" w:ascii="仿宋" w:hAnsi="仿宋" w:eastAsia="仿宋" w:cs="仿宋"/>
          <w:sz w:val="32"/>
          <w:szCs w:val="32"/>
        </w:rPr>
        <w:t>预计上级对我县补助收入为</w:t>
      </w:r>
      <w:r>
        <w:rPr>
          <w:rFonts w:hint="eastAsia" w:ascii="仿宋" w:hAnsi="仿宋" w:eastAsia="仿宋" w:cs="仿宋"/>
          <w:sz w:val="32"/>
          <w:szCs w:val="32"/>
          <w:lang w:val="en-US" w:eastAsia="zh-CN"/>
        </w:rPr>
        <w:t>204833</w:t>
      </w:r>
      <w:r>
        <w:rPr>
          <w:rFonts w:hint="eastAsia" w:ascii="仿宋" w:hAnsi="仿宋" w:eastAsia="仿宋" w:cs="仿宋"/>
          <w:sz w:val="32"/>
          <w:szCs w:val="32"/>
        </w:rPr>
        <w:t>万元，</w:t>
      </w:r>
      <w:r>
        <w:rPr>
          <w:rFonts w:hint="eastAsia" w:ascii="仿宋" w:hAnsi="仿宋" w:eastAsia="仿宋" w:cs="仿宋"/>
          <w:color w:val="000000"/>
          <w:sz w:val="32"/>
          <w:szCs w:val="32"/>
        </w:rPr>
        <w:t>全力支持“保工资、保运转、保民生”</w:t>
      </w:r>
      <w:r>
        <w:rPr>
          <w:rFonts w:hint="eastAsia" w:ascii="仿宋" w:hAnsi="仿宋" w:eastAsia="仿宋" w:cs="仿宋"/>
          <w:color w:val="000000"/>
          <w:sz w:val="32"/>
          <w:szCs w:val="32"/>
          <w:lang w:eastAsia="zh-CN"/>
        </w:rPr>
        <w:t>。</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税收</w:t>
      </w:r>
      <w:r>
        <w:rPr>
          <w:rFonts w:hint="eastAsia" w:ascii="仿宋" w:hAnsi="仿宋" w:eastAsia="仿宋" w:cs="仿宋"/>
          <w:sz w:val="32"/>
          <w:szCs w:val="32"/>
        </w:rPr>
        <w:t>返还性</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5232</w:t>
      </w:r>
      <w:r>
        <w:rPr>
          <w:rFonts w:hint="eastAsia" w:ascii="仿宋" w:hAnsi="仿宋" w:eastAsia="仿宋" w:cs="仿宋"/>
          <w:sz w:val="32"/>
          <w:szCs w:val="32"/>
        </w:rPr>
        <w:t>万元，</w:t>
      </w:r>
      <w:r>
        <w:rPr>
          <w:rFonts w:hint="eastAsia" w:ascii="仿宋" w:hAnsi="仿宋" w:eastAsia="仿宋" w:cs="仿宋"/>
          <w:sz w:val="32"/>
          <w:szCs w:val="32"/>
          <w:lang w:eastAsia="zh-CN"/>
        </w:rPr>
        <w:t>与</w:t>
      </w:r>
      <w:r>
        <w:rPr>
          <w:rFonts w:hint="eastAsia" w:ascii="仿宋" w:hAnsi="仿宋" w:eastAsia="仿宋" w:cs="仿宋"/>
          <w:sz w:val="32"/>
          <w:szCs w:val="32"/>
        </w:rPr>
        <w:t>20</w:t>
      </w:r>
      <w:r>
        <w:rPr>
          <w:rFonts w:hint="eastAsia" w:ascii="仿宋" w:hAnsi="仿宋" w:eastAsia="仿宋" w:cs="仿宋"/>
          <w:sz w:val="32"/>
          <w:szCs w:val="32"/>
          <w:lang w:val="en-US" w:eastAsia="zh-CN"/>
        </w:rPr>
        <w:t>18</w:t>
      </w:r>
      <w:r>
        <w:rPr>
          <w:rFonts w:hint="eastAsia" w:ascii="仿宋" w:hAnsi="仿宋" w:eastAsia="仿宋" w:cs="仿宋"/>
          <w:sz w:val="32"/>
          <w:szCs w:val="32"/>
        </w:rPr>
        <w:t>年执行数</w:t>
      </w:r>
      <w:r>
        <w:rPr>
          <w:rFonts w:hint="eastAsia" w:ascii="仿宋" w:hAnsi="仿宋" w:eastAsia="仿宋" w:cs="仿宋"/>
          <w:sz w:val="32"/>
          <w:szCs w:val="32"/>
          <w:lang w:eastAsia="zh-CN"/>
        </w:rPr>
        <w:t>持平。其中：增值税税收返还收入</w:t>
      </w:r>
      <w:r>
        <w:rPr>
          <w:rFonts w:hint="eastAsia" w:ascii="仿宋" w:hAnsi="仿宋" w:eastAsia="仿宋" w:cs="仿宋"/>
          <w:sz w:val="32"/>
          <w:szCs w:val="32"/>
          <w:lang w:val="en-US" w:eastAsia="zh-CN"/>
        </w:rPr>
        <w:t>2118万元，</w:t>
      </w:r>
      <w:r>
        <w:rPr>
          <w:rFonts w:hint="eastAsia" w:ascii="仿宋" w:hAnsi="仿宋" w:eastAsia="仿宋" w:cs="仿宋"/>
          <w:sz w:val="32"/>
          <w:szCs w:val="32"/>
          <w:lang w:eastAsia="zh-CN"/>
        </w:rPr>
        <w:t>消费税基数返还收入</w:t>
      </w:r>
      <w:r>
        <w:rPr>
          <w:rFonts w:hint="eastAsia" w:ascii="仿宋" w:hAnsi="仿宋" w:eastAsia="仿宋" w:cs="仿宋"/>
          <w:sz w:val="32"/>
          <w:szCs w:val="32"/>
          <w:lang w:val="en-US" w:eastAsia="zh-CN"/>
        </w:rPr>
        <w:t>4万元，</w:t>
      </w:r>
      <w:r>
        <w:rPr>
          <w:rFonts w:hint="eastAsia" w:ascii="仿宋" w:hAnsi="仿宋" w:eastAsia="仿宋" w:cs="仿宋"/>
          <w:sz w:val="32"/>
          <w:szCs w:val="32"/>
          <w:lang w:eastAsia="zh-CN"/>
        </w:rPr>
        <w:t>所得税基数返还</w:t>
      </w:r>
      <w:r>
        <w:rPr>
          <w:rFonts w:hint="eastAsia" w:ascii="仿宋" w:hAnsi="仿宋" w:eastAsia="仿宋" w:cs="仿宋"/>
          <w:sz w:val="32"/>
          <w:szCs w:val="32"/>
          <w:lang w:val="en-US" w:eastAsia="zh-CN"/>
        </w:rPr>
        <w:t>632万元，成品油价格和税费改革返还收入732万元，增值税“五五分享”税收返还收入1058万元，其他税收返还收入688万元。</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一般性转移支付</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137554</w:t>
      </w:r>
      <w:r>
        <w:rPr>
          <w:rFonts w:hint="eastAsia" w:ascii="仿宋" w:hAnsi="仿宋" w:eastAsia="仿宋" w:cs="仿宋"/>
          <w:sz w:val="32"/>
          <w:szCs w:val="32"/>
        </w:rPr>
        <w:t>万元，为20</w:t>
      </w:r>
      <w:r>
        <w:rPr>
          <w:rFonts w:hint="eastAsia" w:ascii="仿宋" w:hAnsi="仿宋" w:eastAsia="仿宋" w:cs="仿宋"/>
          <w:sz w:val="32"/>
          <w:szCs w:val="32"/>
          <w:lang w:val="en-US" w:eastAsia="zh-CN"/>
        </w:rPr>
        <w:t>18</w:t>
      </w:r>
      <w:r>
        <w:rPr>
          <w:rFonts w:hint="eastAsia" w:ascii="仿宋" w:hAnsi="仿宋" w:eastAsia="仿宋" w:cs="仿宋"/>
          <w:sz w:val="32"/>
          <w:szCs w:val="32"/>
        </w:rPr>
        <w:t>年执行数</w:t>
      </w:r>
      <w:r>
        <w:rPr>
          <w:rFonts w:hint="eastAsia" w:ascii="仿宋" w:hAnsi="仿宋" w:eastAsia="仿宋" w:cs="仿宋"/>
          <w:sz w:val="32"/>
          <w:szCs w:val="32"/>
          <w:lang w:val="en-US" w:eastAsia="zh-CN"/>
        </w:rPr>
        <w:t>150839万元</w:t>
      </w:r>
      <w:r>
        <w:rPr>
          <w:rFonts w:hint="eastAsia" w:ascii="仿宋" w:hAnsi="仿宋" w:eastAsia="仿宋" w:cs="仿宋"/>
          <w:sz w:val="32"/>
          <w:szCs w:val="32"/>
        </w:rPr>
        <w:t>的</w:t>
      </w:r>
      <w:r>
        <w:rPr>
          <w:rFonts w:hint="eastAsia" w:ascii="仿宋" w:hAnsi="仿宋" w:eastAsia="仿宋" w:cs="仿宋"/>
          <w:sz w:val="32"/>
          <w:szCs w:val="32"/>
          <w:lang w:val="en-US" w:eastAsia="zh-CN"/>
        </w:rPr>
        <w:t>91.19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其中：均衡性转移支付35636万元，县级基本财力保障机制奖补资金12416万元，重点生态功能区转移支付7771万元，革命老区转移支付198万元，民族地区转移支付3500万元，固定数额补助11013万元，体制补助89万元，结算补助9861万元，贫困地区转移支付5089万元，企事业单位预算划转补助收入78万元，其他一般性转移支付5056万元；公共安全共同财政事权转移支付、教育共同事权转移支付、科学技术共同财政事权转移支付、社会保障和就业共同财政事权转移支付等具有明确投向的共同财政事权转移支付46847万元。 </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专项转移支付</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62047</w:t>
      </w:r>
      <w:r>
        <w:rPr>
          <w:rFonts w:hint="eastAsia" w:ascii="仿宋" w:hAnsi="仿宋" w:eastAsia="仿宋" w:cs="仿宋"/>
          <w:sz w:val="32"/>
          <w:szCs w:val="32"/>
        </w:rPr>
        <w:t>万元，为20</w:t>
      </w:r>
      <w:r>
        <w:rPr>
          <w:rFonts w:hint="eastAsia" w:ascii="仿宋" w:hAnsi="仿宋" w:eastAsia="仿宋" w:cs="仿宋"/>
          <w:sz w:val="32"/>
          <w:szCs w:val="32"/>
          <w:lang w:val="en-US" w:eastAsia="zh-CN"/>
        </w:rPr>
        <w:t>20</w:t>
      </w:r>
      <w:r>
        <w:rPr>
          <w:rFonts w:hint="eastAsia" w:ascii="仿宋" w:hAnsi="仿宋" w:eastAsia="仿宋" w:cs="仿宋"/>
          <w:sz w:val="32"/>
          <w:szCs w:val="32"/>
        </w:rPr>
        <w:t>年执行数</w:t>
      </w:r>
      <w:r>
        <w:rPr>
          <w:rFonts w:hint="eastAsia" w:ascii="仿宋" w:hAnsi="仿宋" w:eastAsia="仿宋" w:cs="仿宋"/>
          <w:sz w:val="32"/>
          <w:szCs w:val="32"/>
          <w:lang w:val="en-US" w:eastAsia="zh-CN"/>
        </w:rPr>
        <w:t>77256万元</w:t>
      </w:r>
      <w:r>
        <w:rPr>
          <w:rFonts w:hint="eastAsia" w:ascii="仿宋" w:hAnsi="仿宋" w:eastAsia="仿宋" w:cs="仿宋"/>
          <w:sz w:val="32"/>
          <w:szCs w:val="32"/>
        </w:rPr>
        <w:t>的</w:t>
      </w:r>
      <w:r>
        <w:rPr>
          <w:rFonts w:hint="eastAsia" w:ascii="仿宋" w:hAnsi="仿宋" w:eastAsia="仿宋" w:cs="仿宋"/>
          <w:sz w:val="32"/>
          <w:szCs w:val="32"/>
          <w:lang w:val="en-US" w:eastAsia="zh-CN"/>
        </w:rPr>
        <w:t>77.98</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600" w:lineRule="exact"/>
        <w:ind w:firstLine="640" w:firstLineChars="200"/>
        <w:rPr>
          <w:rFonts w:hint="eastAsia" w:eastAsia="黑体"/>
          <w:sz w:val="32"/>
          <w:szCs w:val="32"/>
        </w:rPr>
      </w:pPr>
      <w:r>
        <w:rPr>
          <w:rFonts w:hint="eastAsia" w:eastAsia="黑体"/>
          <w:sz w:val="32"/>
          <w:szCs w:val="32"/>
          <w:lang w:eastAsia="zh-CN"/>
        </w:rPr>
        <w:t>四</w:t>
      </w:r>
      <w:r>
        <w:rPr>
          <w:rFonts w:hint="eastAsia" w:eastAsia="黑体"/>
          <w:sz w:val="32"/>
          <w:szCs w:val="32"/>
        </w:rPr>
        <w:t>、20</w:t>
      </w:r>
      <w:r>
        <w:rPr>
          <w:rFonts w:hint="eastAsia" w:eastAsia="黑体"/>
          <w:sz w:val="32"/>
          <w:szCs w:val="32"/>
          <w:lang w:val="en-US" w:eastAsia="zh-CN"/>
        </w:rPr>
        <w:t>19</w:t>
      </w:r>
      <w:r>
        <w:rPr>
          <w:rFonts w:hint="eastAsia" w:eastAsia="黑体"/>
          <w:sz w:val="32"/>
          <w:szCs w:val="32"/>
        </w:rPr>
        <w:t>年政府性基金预算说明</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政府性基金预算根据基金项目的收入情况和实际支出需要安排，按基金项目编制，做到以收定支，并加大与一般公共预算的统筹力度。</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本年基金收入26598万元(其中：城市基础设施配套费收入150万元，国有土地使用权出让收入8000万元，污水处理费收入170万元，其他政府性基金收入18278万元)，上年结转303万元,收入合计26901万元。</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基金支出8293万元(其中：城市基础设施配套费支出150万元，国有土地使用权出让金支出6537万元，污水处理费安排的支出170万元，专项债券债务付息支出1133万元，社会保障和就业支出303万元)，基金上解支出9万元，调出资金18278万元，专项债券还本支出321万元，支出合计26901万元。</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我县对乡镇财政管理执行的是一个部门预算管理体制，没有对其有税收返还、转移支付资金安排，所以政府性基金专项转移支付对下补助数据为空。</w:t>
      </w:r>
    </w:p>
    <w:p>
      <w:pPr>
        <w:spacing w:line="600" w:lineRule="exact"/>
        <w:ind w:firstLine="640" w:firstLineChars="200"/>
        <w:rPr>
          <w:rFonts w:eastAsia="黑体"/>
          <w:color w:val="000000"/>
          <w:sz w:val="32"/>
          <w:szCs w:val="32"/>
        </w:rPr>
      </w:pPr>
      <w:r>
        <w:rPr>
          <w:rFonts w:hint="eastAsia" w:eastAsia="黑体"/>
          <w:sz w:val="32"/>
          <w:szCs w:val="32"/>
          <w:lang w:eastAsia="zh-CN"/>
        </w:rPr>
        <w:t>五</w:t>
      </w:r>
      <w:r>
        <w:rPr>
          <w:rFonts w:hint="eastAsia" w:eastAsia="黑体"/>
          <w:sz w:val="32"/>
          <w:szCs w:val="32"/>
        </w:rPr>
        <w:t>、2</w:t>
      </w:r>
      <w:r>
        <w:rPr>
          <w:rFonts w:hint="eastAsia" w:eastAsia="黑体"/>
          <w:sz w:val="32"/>
          <w:szCs w:val="32"/>
          <w:lang w:val="en-US" w:eastAsia="zh-CN"/>
        </w:rPr>
        <w:t>019</w:t>
      </w:r>
      <w:r>
        <w:rPr>
          <w:rFonts w:hint="eastAsia" w:eastAsia="黑体"/>
          <w:sz w:val="32"/>
          <w:szCs w:val="32"/>
        </w:rPr>
        <w:t>年国有资本经营预算说明</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国有资本经营预算按照收支平衡的原则编制，不列赤字，并加大与一般公共预算的统筹力度。</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本年安排国有资本经营收入424万元，为股利、股息收入。这部分收入在资本经营预算支出中列调出资金，同时以调入资金科目纳入一般公共财政预算安排。</w:t>
      </w:r>
    </w:p>
    <w:p>
      <w:pPr>
        <w:numPr>
          <w:ilvl w:val="0"/>
          <w:numId w:val="0"/>
        </w:numPr>
        <w:spacing w:line="600" w:lineRule="exact"/>
        <w:ind w:firstLine="640" w:firstLineChars="200"/>
        <w:rPr>
          <w:rFonts w:eastAsia="黑体"/>
          <w:color w:val="000000"/>
          <w:sz w:val="32"/>
          <w:szCs w:val="32"/>
        </w:rPr>
      </w:pPr>
      <w:r>
        <w:rPr>
          <w:rFonts w:hint="eastAsia" w:eastAsia="黑体"/>
          <w:sz w:val="32"/>
          <w:szCs w:val="32"/>
          <w:lang w:eastAsia="zh-CN"/>
        </w:rPr>
        <w:t>六</w:t>
      </w:r>
      <w:r>
        <w:rPr>
          <w:rFonts w:hint="eastAsia" w:eastAsia="黑体"/>
          <w:sz w:val="32"/>
          <w:szCs w:val="32"/>
        </w:rPr>
        <w:t>、20</w:t>
      </w:r>
      <w:r>
        <w:rPr>
          <w:rFonts w:hint="eastAsia" w:eastAsia="黑体"/>
          <w:sz w:val="32"/>
          <w:szCs w:val="32"/>
          <w:lang w:val="en-US" w:eastAsia="zh-CN"/>
        </w:rPr>
        <w:t>19</w:t>
      </w:r>
      <w:r>
        <w:rPr>
          <w:rFonts w:hint="eastAsia" w:eastAsia="黑体"/>
          <w:sz w:val="32"/>
          <w:szCs w:val="32"/>
        </w:rPr>
        <w:t>年社会保险基金预算说明</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社会保险基金预算按照统筹层次和险种分别编制。</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本年收入安排63309万元，支出安排57187万元，上年结余40509万元，年末滚存结余46631万元。</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险种来看：机关事业单位养老保险基金收入22829万元，支出22643万元，上年结余12551万元，滚存结余12737万元；城乡居民基本养老保险基金收入9175万元，支出7033万元，上年结余12410万元，滚存结余14552万元；城镇职工基本医疗保险基金收入7056万元，支出5642万元，上年结余8957万元，滚存结余10371万元；城乡居民基本医疗保险基金收入23735万元，支出20945万元，上年结余5001万元，滚存结余7791万元；失业保险基金收入288万元，支出524万元，上年结余668万元，滚存结余507万元；生育保险基金收入226万元，支出400万元，上年结余922万元，滚存结余748万元；。</w:t>
      </w:r>
    </w:p>
    <w:p>
      <w:pPr>
        <w:numPr>
          <w:ilvl w:val="0"/>
          <w:numId w:val="1"/>
        </w:numPr>
        <w:spacing w:line="600" w:lineRule="exact"/>
        <w:ind w:firstLine="640" w:firstLineChars="200"/>
        <w:rPr>
          <w:rFonts w:hint="eastAsia" w:eastAsia="黑体"/>
          <w:sz w:val="32"/>
          <w:szCs w:val="32"/>
        </w:rPr>
      </w:pPr>
      <w:r>
        <w:rPr>
          <w:rFonts w:hint="eastAsia" w:eastAsia="黑体"/>
          <w:sz w:val="32"/>
          <w:szCs w:val="32"/>
        </w:rPr>
        <w:t>举借政府债务情况</w:t>
      </w:r>
    </w:p>
    <w:p>
      <w:pPr>
        <w:spacing w:line="600" w:lineRule="exact"/>
        <w:ind w:firstLine="643" w:firstLineChars="200"/>
        <w:rPr>
          <w:rFonts w:hint="eastAsia" w:ascii="宋体" w:hAnsi="宋体" w:eastAsia="宋体" w:cs="宋体"/>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（一）地方政府债务限额余额情况</w:t>
      </w:r>
    </w:p>
    <w:p>
      <w:pPr>
        <w:spacing w:line="600" w:lineRule="exact"/>
        <w:ind w:firstLine="640" w:firstLineChars="200"/>
        <w:rPr>
          <w:rFonts w:hint="eastAsia" w:ascii="仿宋" w:hAnsi="仿宋" w:eastAsia="仿宋"/>
          <w:color w:val="333333"/>
          <w:sz w:val="32"/>
          <w:szCs w:val="32"/>
          <w:shd w:val="clear" w:color="auto" w:fill="FFFFFF"/>
          <w:lang w:eastAsia="zh-CN"/>
        </w:rPr>
      </w:pPr>
      <w:r>
        <w:rPr>
          <w:rFonts w:hint="eastAsia" w:ascii="仿宋" w:hAnsi="仿宋" w:eastAsia="仿宋"/>
          <w:color w:val="333333"/>
          <w:sz w:val="32"/>
          <w:szCs w:val="32"/>
          <w:shd w:val="clear" w:color="auto" w:fill="FFFFFF"/>
          <w:lang w:val="en-US" w:eastAsia="zh-CN"/>
        </w:rPr>
        <w:t>2018年政府债务总限额221141万元，其中一般债务限额193846万元，专项债务限额27295万元。</w:t>
      </w:r>
      <w:r>
        <w:rPr>
          <w:rFonts w:hint="eastAsia" w:ascii="仿宋" w:hAnsi="仿宋" w:eastAsia="仿宋"/>
          <w:color w:val="333333"/>
          <w:sz w:val="32"/>
          <w:szCs w:val="32"/>
          <w:shd w:val="clear" w:color="auto" w:fill="FFFFFF"/>
        </w:rPr>
        <w:t>截</w:t>
      </w:r>
      <w:r>
        <w:rPr>
          <w:rFonts w:hint="eastAsia" w:ascii="仿宋" w:hAnsi="仿宋" w:eastAsia="仿宋"/>
          <w:color w:val="333333"/>
          <w:sz w:val="32"/>
          <w:szCs w:val="32"/>
          <w:shd w:val="clear" w:color="auto" w:fill="FFFFFF"/>
          <w:lang w:eastAsia="zh-CN"/>
        </w:rPr>
        <w:t>至</w:t>
      </w:r>
      <w:bookmarkStart w:id="0" w:name="_GoBack"/>
      <w:bookmarkEnd w:id="0"/>
      <w:r>
        <w:rPr>
          <w:rFonts w:hint="eastAsia" w:ascii="仿宋" w:hAnsi="仿宋" w:eastAsia="仿宋"/>
          <w:color w:val="333333"/>
          <w:sz w:val="32"/>
          <w:szCs w:val="32"/>
          <w:shd w:val="clear" w:color="auto" w:fill="FFFFFF"/>
        </w:rPr>
        <w:t>2018年底</w:t>
      </w:r>
      <w:r>
        <w:rPr>
          <w:rFonts w:hint="eastAsia" w:ascii="仿宋" w:hAnsi="仿宋" w:eastAsia="仿宋"/>
          <w:color w:val="333333"/>
          <w:sz w:val="32"/>
          <w:szCs w:val="32"/>
          <w:shd w:val="clear" w:color="auto" w:fill="FFFFFF"/>
          <w:lang w:eastAsia="zh-CN"/>
        </w:rPr>
        <w:t>，地方政府债务余额</w:t>
      </w:r>
      <w:r>
        <w:rPr>
          <w:rFonts w:hint="eastAsia" w:ascii="仿宋" w:hAnsi="仿宋" w:eastAsia="仿宋"/>
          <w:color w:val="333333"/>
          <w:sz w:val="32"/>
          <w:szCs w:val="32"/>
          <w:shd w:val="clear" w:color="auto" w:fill="FFFFFF"/>
          <w:lang w:val="en-US" w:eastAsia="zh-CN"/>
        </w:rPr>
        <w:t>221141</w:t>
      </w:r>
      <w:r>
        <w:rPr>
          <w:rFonts w:hint="eastAsia" w:ascii="仿宋" w:hAnsi="仿宋" w:eastAsia="仿宋"/>
          <w:color w:val="333333"/>
          <w:sz w:val="32"/>
          <w:szCs w:val="32"/>
          <w:shd w:val="clear" w:color="auto" w:fill="FFFFFF"/>
          <w:lang w:eastAsia="zh-CN"/>
        </w:rPr>
        <w:t>万元，其中一般债务余额</w:t>
      </w:r>
      <w:r>
        <w:rPr>
          <w:rFonts w:hint="eastAsia" w:ascii="仿宋" w:hAnsi="仿宋" w:eastAsia="仿宋"/>
          <w:color w:val="333333"/>
          <w:sz w:val="32"/>
          <w:szCs w:val="32"/>
          <w:shd w:val="clear" w:color="auto" w:fill="FFFFFF"/>
          <w:lang w:val="en-US" w:eastAsia="zh-CN"/>
        </w:rPr>
        <w:t>193846万元</w:t>
      </w:r>
      <w:r>
        <w:rPr>
          <w:rFonts w:hint="eastAsia" w:ascii="仿宋" w:hAnsi="仿宋" w:eastAsia="仿宋"/>
          <w:color w:val="333333"/>
          <w:sz w:val="32"/>
          <w:szCs w:val="32"/>
          <w:shd w:val="clear" w:color="auto" w:fill="FFFFFF"/>
          <w:lang w:eastAsia="zh-CN"/>
        </w:rPr>
        <w:t>，专项债务余额</w:t>
      </w:r>
      <w:r>
        <w:rPr>
          <w:rFonts w:hint="eastAsia" w:ascii="仿宋" w:hAnsi="仿宋" w:eastAsia="仿宋"/>
          <w:color w:val="333333"/>
          <w:sz w:val="32"/>
          <w:szCs w:val="32"/>
          <w:shd w:val="clear" w:color="auto" w:fill="FFFFFF"/>
          <w:lang w:val="en-US" w:eastAsia="zh-CN"/>
        </w:rPr>
        <w:t>27295万元</w:t>
      </w:r>
      <w:r>
        <w:rPr>
          <w:rFonts w:hint="eastAsia" w:ascii="仿宋" w:hAnsi="仿宋" w:eastAsia="仿宋"/>
          <w:color w:val="333333"/>
          <w:sz w:val="32"/>
          <w:szCs w:val="32"/>
          <w:shd w:val="clear" w:color="auto" w:fill="FFFFFF"/>
          <w:lang w:eastAsia="zh-CN"/>
        </w:rPr>
        <w:t>，控制在核定的债务限额以内。</w:t>
      </w:r>
    </w:p>
    <w:p>
      <w:pPr>
        <w:numPr>
          <w:ilvl w:val="0"/>
          <w:numId w:val="2"/>
        </w:numPr>
        <w:spacing w:line="600" w:lineRule="exact"/>
        <w:ind w:firstLine="643" w:firstLineChars="200"/>
        <w:rPr>
          <w:rFonts w:hint="eastAsia" w:ascii="宋体" w:hAnsi="宋体" w:eastAsia="宋体" w:cs="宋体"/>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地方政府债券发行情况</w:t>
      </w:r>
    </w:p>
    <w:p>
      <w:pPr>
        <w:numPr>
          <w:ilvl w:val="0"/>
          <w:numId w:val="0"/>
        </w:numPr>
        <w:spacing w:line="600" w:lineRule="exact"/>
        <w:ind w:firstLine="640" w:firstLineChars="200"/>
        <w:rPr>
          <w:rFonts w:hint="eastAsia" w:ascii="仿宋" w:hAnsi="仿宋" w:eastAsia="仿宋"/>
          <w:color w:val="333333"/>
          <w:sz w:val="32"/>
          <w:szCs w:val="32"/>
          <w:shd w:val="clear" w:color="auto" w:fill="FFFFFF"/>
          <w:lang w:eastAsia="zh-CN"/>
        </w:rPr>
      </w:pPr>
      <w:r>
        <w:rPr>
          <w:rFonts w:hint="eastAsia" w:ascii="仿宋" w:hAnsi="仿宋" w:eastAsia="仿宋"/>
          <w:color w:val="333333"/>
          <w:sz w:val="32"/>
          <w:szCs w:val="32"/>
          <w:shd w:val="clear" w:color="auto" w:fill="FFFFFF"/>
          <w:lang w:val="en-US" w:eastAsia="zh-CN"/>
        </w:rPr>
        <w:t>2018年省转贷新增债务限额65800万元，其中一般债务限额60800万元，专项债务限额5000万元，据此发行一般债券60800万元，专项债券5000万元，平均期限4.89年，平均利率3.77%</w:t>
      </w:r>
      <w:r>
        <w:rPr>
          <w:rFonts w:hint="eastAsia" w:ascii="仿宋" w:hAnsi="仿宋" w:eastAsia="仿宋"/>
          <w:color w:val="333333"/>
          <w:sz w:val="32"/>
          <w:szCs w:val="32"/>
          <w:shd w:val="clear" w:color="auto" w:fill="FFFFFF"/>
        </w:rPr>
        <w:t>。</w:t>
      </w:r>
    </w:p>
    <w:p>
      <w:pPr>
        <w:numPr>
          <w:ilvl w:val="0"/>
          <w:numId w:val="2"/>
        </w:numPr>
        <w:spacing w:line="600" w:lineRule="exact"/>
        <w:ind w:firstLine="643" w:firstLineChars="200"/>
        <w:rPr>
          <w:rFonts w:hint="eastAsia" w:ascii="宋体" w:hAnsi="宋体" w:eastAsia="宋体" w:cs="宋体"/>
          <w:b/>
          <w:bCs/>
          <w:color w:val="333333"/>
          <w:sz w:val="32"/>
          <w:szCs w:val="32"/>
          <w:shd w:val="clear" w:color="auto" w:fill="FFFFFF"/>
          <w:lang w:eastAsia="zh-CN"/>
        </w:rPr>
      </w:pPr>
      <w:r>
        <w:rPr>
          <w:rFonts w:hint="eastAsia" w:ascii="宋体" w:hAnsi="宋体" w:eastAsia="宋体" w:cs="宋体"/>
          <w:b/>
          <w:bCs/>
          <w:color w:val="333333"/>
          <w:sz w:val="32"/>
          <w:szCs w:val="32"/>
          <w:shd w:val="clear" w:color="auto" w:fill="FFFFFF"/>
          <w:lang w:eastAsia="zh-CN"/>
        </w:rPr>
        <w:t>地方政府债务还本付息情况</w:t>
      </w:r>
    </w:p>
    <w:p>
      <w:pPr>
        <w:spacing w:line="600" w:lineRule="exact"/>
        <w:ind w:firstLine="640" w:firstLineChars="200"/>
        <w:rPr>
          <w:rFonts w:hint="eastAsia" w:ascii="仿宋" w:hAnsi="仿宋" w:eastAsia="仿宋"/>
          <w:color w:val="333333"/>
          <w:sz w:val="32"/>
          <w:szCs w:val="32"/>
          <w:shd w:val="clear" w:color="auto" w:fill="FFFFFF"/>
          <w:lang w:val="en-US" w:eastAsia="zh-CN"/>
        </w:rPr>
      </w:pPr>
      <w:r>
        <w:rPr>
          <w:rFonts w:hint="eastAsia" w:ascii="仿宋" w:hAnsi="仿宋" w:eastAsia="仿宋"/>
          <w:color w:val="333333"/>
          <w:sz w:val="32"/>
          <w:szCs w:val="32"/>
          <w:shd w:val="clear" w:color="auto" w:fill="FFFFFF"/>
          <w:lang w:val="en-US" w:eastAsia="zh-CN"/>
        </w:rPr>
        <w:t>2018年</w:t>
      </w:r>
      <w:r>
        <w:rPr>
          <w:rFonts w:hint="eastAsia" w:ascii="仿宋" w:hAnsi="仿宋" w:eastAsia="仿宋"/>
          <w:color w:val="333333"/>
          <w:sz w:val="32"/>
          <w:szCs w:val="32"/>
          <w:shd w:val="clear" w:color="auto" w:fill="FFFFFF"/>
        </w:rPr>
        <w:t>安排</w:t>
      </w:r>
      <w:r>
        <w:rPr>
          <w:rFonts w:hint="eastAsia" w:ascii="仿宋" w:hAnsi="仿宋" w:eastAsia="仿宋"/>
          <w:color w:val="333333"/>
          <w:sz w:val="32"/>
          <w:szCs w:val="32"/>
          <w:shd w:val="clear" w:color="auto" w:fill="FFFFFF"/>
          <w:lang w:eastAsia="zh-CN"/>
        </w:rPr>
        <w:t>政府债券</w:t>
      </w:r>
      <w:r>
        <w:rPr>
          <w:rFonts w:hint="eastAsia" w:ascii="仿宋" w:hAnsi="仿宋" w:eastAsia="仿宋"/>
          <w:color w:val="333333"/>
          <w:sz w:val="32"/>
          <w:szCs w:val="32"/>
          <w:shd w:val="clear" w:color="auto" w:fill="FFFFFF"/>
        </w:rPr>
        <w:t>还本支出</w:t>
      </w:r>
      <w:r>
        <w:rPr>
          <w:rFonts w:hint="eastAsia" w:ascii="仿宋" w:hAnsi="仿宋" w:eastAsia="仿宋"/>
          <w:color w:val="333333"/>
          <w:sz w:val="32"/>
          <w:szCs w:val="32"/>
          <w:shd w:val="clear" w:color="auto" w:fill="FFFFFF"/>
          <w:lang w:val="en-US" w:eastAsia="zh-CN"/>
        </w:rPr>
        <w:t>4561</w:t>
      </w:r>
      <w:r>
        <w:rPr>
          <w:rFonts w:hint="eastAsia" w:ascii="仿宋" w:hAnsi="仿宋" w:eastAsia="仿宋"/>
          <w:color w:val="333333"/>
          <w:sz w:val="32"/>
          <w:szCs w:val="32"/>
          <w:shd w:val="clear" w:color="auto" w:fill="FFFFFF"/>
        </w:rPr>
        <w:t>万元</w:t>
      </w:r>
      <w:r>
        <w:rPr>
          <w:rFonts w:hint="eastAsia" w:ascii="仿宋" w:hAnsi="仿宋" w:eastAsia="仿宋"/>
          <w:color w:val="333333"/>
          <w:sz w:val="32"/>
          <w:szCs w:val="32"/>
          <w:shd w:val="clear" w:color="auto" w:fill="FFFFFF"/>
          <w:lang w:eastAsia="zh-CN"/>
        </w:rPr>
        <w:t>，其中一般债券本金</w:t>
      </w:r>
      <w:r>
        <w:rPr>
          <w:rFonts w:hint="eastAsia" w:ascii="仿宋" w:hAnsi="仿宋" w:eastAsia="仿宋"/>
          <w:color w:val="333333"/>
          <w:sz w:val="32"/>
          <w:szCs w:val="32"/>
          <w:shd w:val="clear" w:color="auto" w:fill="FFFFFF"/>
          <w:lang w:val="en-US" w:eastAsia="zh-CN"/>
        </w:rPr>
        <w:t>4561万元；安排</w:t>
      </w:r>
      <w:r>
        <w:rPr>
          <w:rFonts w:hint="eastAsia" w:ascii="仿宋" w:hAnsi="仿宋" w:eastAsia="仿宋"/>
          <w:color w:val="333333"/>
          <w:sz w:val="32"/>
          <w:szCs w:val="32"/>
          <w:shd w:val="clear" w:color="auto" w:fill="FFFFFF"/>
          <w:lang w:eastAsia="zh-CN"/>
        </w:rPr>
        <w:t>政府债券付息</w:t>
      </w:r>
      <w:r>
        <w:rPr>
          <w:rFonts w:hint="eastAsia" w:ascii="仿宋" w:hAnsi="仿宋" w:eastAsia="仿宋"/>
          <w:color w:val="333333"/>
          <w:sz w:val="32"/>
          <w:szCs w:val="32"/>
          <w:shd w:val="clear" w:color="auto" w:fill="FFFFFF"/>
        </w:rPr>
        <w:t>支出</w:t>
      </w:r>
      <w:r>
        <w:rPr>
          <w:rFonts w:hint="eastAsia" w:ascii="仿宋" w:hAnsi="仿宋" w:eastAsia="仿宋"/>
          <w:color w:val="333333"/>
          <w:sz w:val="32"/>
          <w:szCs w:val="32"/>
          <w:shd w:val="clear" w:color="auto" w:fill="FFFFFF"/>
          <w:lang w:val="en-US" w:eastAsia="zh-CN"/>
        </w:rPr>
        <w:t>5171万元</w:t>
      </w:r>
      <w:r>
        <w:rPr>
          <w:rFonts w:hint="eastAsia" w:ascii="仿宋" w:hAnsi="仿宋" w:eastAsia="仿宋"/>
          <w:color w:val="333333"/>
          <w:sz w:val="32"/>
          <w:szCs w:val="32"/>
          <w:shd w:val="clear" w:color="auto" w:fill="FFFFFF"/>
          <w:lang w:eastAsia="zh-CN"/>
        </w:rPr>
        <w:t>，其中一般债券利息</w:t>
      </w:r>
      <w:r>
        <w:rPr>
          <w:rFonts w:hint="eastAsia" w:ascii="仿宋" w:hAnsi="仿宋" w:eastAsia="仿宋"/>
          <w:color w:val="333333"/>
          <w:sz w:val="32"/>
          <w:szCs w:val="32"/>
          <w:shd w:val="clear" w:color="auto" w:fill="FFFFFF"/>
          <w:lang w:val="en-US" w:eastAsia="zh-CN"/>
        </w:rPr>
        <w:t>4234万元，</w:t>
      </w:r>
      <w:r>
        <w:rPr>
          <w:rFonts w:hint="eastAsia" w:ascii="仿宋" w:hAnsi="仿宋" w:eastAsia="仿宋"/>
          <w:color w:val="333333"/>
          <w:sz w:val="32"/>
          <w:szCs w:val="32"/>
          <w:shd w:val="clear" w:color="auto" w:fill="FFFFFF"/>
          <w:lang w:eastAsia="zh-CN"/>
        </w:rPr>
        <w:t>专项债券利息</w:t>
      </w:r>
      <w:r>
        <w:rPr>
          <w:rFonts w:hint="eastAsia" w:ascii="仿宋" w:hAnsi="仿宋" w:eastAsia="仿宋"/>
          <w:color w:val="333333"/>
          <w:sz w:val="32"/>
          <w:szCs w:val="32"/>
          <w:shd w:val="clear" w:color="auto" w:fill="FFFFFF"/>
          <w:lang w:val="en-US" w:eastAsia="zh-CN"/>
        </w:rPr>
        <w:t>937万元。</w:t>
      </w:r>
    </w:p>
    <w:p>
      <w:pPr>
        <w:spacing w:line="600" w:lineRule="exact"/>
        <w:ind w:firstLine="640" w:firstLineChars="200"/>
        <w:rPr>
          <w:rFonts w:hint="eastAsia" w:ascii="仿宋" w:hAnsi="仿宋" w:eastAsia="仿宋"/>
          <w:color w:val="333333"/>
          <w:sz w:val="32"/>
          <w:szCs w:val="32"/>
          <w:shd w:val="clear" w:color="auto" w:fill="FFFFFF"/>
          <w:lang w:val="en-US" w:eastAsia="zh-CN"/>
        </w:rPr>
      </w:pPr>
      <w:r>
        <w:rPr>
          <w:rFonts w:hint="eastAsia" w:ascii="仿宋" w:hAnsi="仿宋" w:eastAsia="仿宋"/>
          <w:color w:val="333333"/>
          <w:sz w:val="32"/>
          <w:szCs w:val="32"/>
          <w:shd w:val="clear" w:color="auto" w:fill="FFFFFF"/>
          <w:lang w:val="en-US" w:eastAsia="zh-CN"/>
        </w:rPr>
        <w:t>2019年预算</w:t>
      </w:r>
      <w:r>
        <w:rPr>
          <w:rFonts w:hint="eastAsia" w:ascii="仿宋" w:hAnsi="仿宋" w:eastAsia="仿宋"/>
          <w:color w:val="333333"/>
          <w:sz w:val="32"/>
          <w:szCs w:val="32"/>
          <w:shd w:val="clear" w:color="auto" w:fill="FFFFFF"/>
        </w:rPr>
        <w:t>安排</w:t>
      </w:r>
      <w:r>
        <w:rPr>
          <w:rFonts w:hint="eastAsia" w:ascii="仿宋" w:hAnsi="仿宋" w:eastAsia="仿宋"/>
          <w:color w:val="333333"/>
          <w:sz w:val="32"/>
          <w:szCs w:val="32"/>
          <w:shd w:val="clear" w:color="auto" w:fill="FFFFFF"/>
          <w:lang w:eastAsia="zh-CN"/>
        </w:rPr>
        <w:t>政府债券</w:t>
      </w:r>
      <w:r>
        <w:rPr>
          <w:rFonts w:hint="eastAsia" w:ascii="仿宋" w:hAnsi="仿宋" w:eastAsia="仿宋"/>
          <w:color w:val="333333"/>
          <w:sz w:val="32"/>
          <w:szCs w:val="32"/>
          <w:shd w:val="clear" w:color="auto" w:fill="FFFFFF"/>
        </w:rPr>
        <w:t>还本支出5</w:t>
      </w:r>
      <w:r>
        <w:rPr>
          <w:rFonts w:hint="eastAsia" w:ascii="仿宋" w:hAnsi="仿宋" w:eastAsia="仿宋"/>
          <w:color w:val="333333"/>
          <w:sz w:val="32"/>
          <w:szCs w:val="32"/>
          <w:shd w:val="clear" w:color="auto" w:fill="FFFFFF"/>
          <w:lang w:val="en-US" w:eastAsia="zh-CN"/>
        </w:rPr>
        <w:t>371</w:t>
      </w:r>
      <w:r>
        <w:rPr>
          <w:rFonts w:hint="eastAsia" w:ascii="仿宋" w:hAnsi="仿宋" w:eastAsia="仿宋"/>
          <w:color w:val="333333"/>
          <w:sz w:val="32"/>
          <w:szCs w:val="32"/>
          <w:shd w:val="clear" w:color="auto" w:fill="FFFFFF"/>
        </w:rPr>
        <w:t>万元</w:t>
      </w:r>
      <w:r>
        <w:rPr>
          <w:rFonts w:hint="eastAsia" w:ascii="仿宋" w:hAnsi="仿宋" w:eastAsia="仿宋"/>
          <w:color w:val="333333"/>
          <w:sz w:val="32"/>
          <w:szCs w:val="32"/>
          <w:shd w:val="clear" w:color="auto" w:fill="FFFFFF"/>
          <w:lang w:eastAsia="zh-CN"/>
        </w:rPr>
        <w:t>，其中一般债券本金</w:t>
      </w:r>
      <w:r>
        <w:rPr>
          <w:rFonts w:hint="eastAsia" w:ascii="仿宋" w:hAnsi="仿宋" w:eastAsia="仿宋"/>
          <w:color w:val="333333"/>
          <w:sz w:val="32"/>
          <w:szCs w:val="32"/>
          <w:shd w:val="clear" w:color="auto" w:fill="FFFFFF"/>
          <w:lang w:val="en-US" w:eastAsia="zh-CN"/>
        </w:rPr>
        <w:t>5050万元，专项债券本金321万元；安排</w:t>
      </w:r>
      <w:r>
        <w:rPr>
          <w:rFonts w:hint="eastAsia" w:ascii="仿宋" w:hAnsi="仿宋" w:eastAsia="仿宋"/>
          <w:color w:val="333333"/>
          <w:sz w:val="32"/>
          <w:szCs w:val="32"/>
          <w:shd w:val="clear" w:color="auto" w:fill="FFFFFF"/>
          <w:lang w:eastAsia="zh-CN"/>
        </w:rPr>
        <w:t>政府债券付息</w:t>
      </w:r>
      <w:r>
        <w:rPr>
          <w:rFonts w:hint="eastAsia" w:ascii="仿宋" w:hAnsi="仿宋" w:eastAsia="仿宋"/>
          <w:color w:val="333333"/>
          <w:sz w:val="32"/>
          <w:szCs w:val="32"/>
          <w:shd w:val="clear" w:color="auto" w:fill="FFFFFF"/>
        </w:rPr>
        <w:t>支出</w:t>
      </w:r>
      <w:r>
        <w:rPr>
          <w:rFonts w:hint="eastAsia" w:ascii="仿宋" w:hAnsi="仿宋" w:eastAsia="仿宋"/>
          <w:color w:val="333333"/>
          <w:sz w:val="32"/>
          <w:szCs w:val="32"/>
          <w:shd w:val="clear" w:color="auto" w:fill="FFFFFF"/>
          <w:lang w:val="en-US" w:eastAsia="zh-CN"/>
        </w:rPr>
        <w:t>10153万元</w:t>
      </w:r>
      <w:r>
        <w:rPr>
          <w:rFonts w:hint="eastAsia" w:ascii="仿宋" w:hAnsi="仿宋" w:eastAsia="仿宋"/>
          <w:color w:val="333333"/>
          <w:sz w:val="32"/>
          <w:szCs w:val="32"/>
          <w:shd w:val="clear" w:color="auto" w:fill="FFFFFF"/>
          <w:lang w:eastAsia="zh-CN"/>
        </w:rPr>
        <w:t>，其中一般债券利息</w:t>
      </w:r>
      <w:r>
        <w:rPr>
          <w:rFonts w:hint="eastAsia" w:ascii="仿宋" w:hAnsi="仿宋" w:eastAsia="仿宋"/>
          <w:color w:val="333333"/>
          <w:sz w:val="32"/>
          <w:szCs w:val="32"/>
          <w:shd w:val="clear" w:color="auto" w:fill="FFFFFF"/>
          <w:lang w:val="en-US" w:eastAsia="zh-CN"/>
        </w:rPr>
        <w:t>9020万元，</w:t>
      </w:r>
      <w:r>
        <w:rPr>
          <w:rFonts w:hint="eastAsia" w:ascii="仿宋" w:hAnsi="仿宋" w:eastAsia="仿宋"/>
          <w:color w:val="333333"/>
          <w:sz w:val="32"/>
          <w:szCs w:val="32"/>
          <w:shd w:val="clear" w:color="auto" w:fill="FFFFFF"/>
          <w:lang w:eastAsia="zh-CN"/>
        </w:rPr>
        <w:t>专项债券利息</w:t>
      </w:r>
      <w:r>
        <w:rPr>
          <w:rFonts w:hint="eastAsia" w:ascii="仿宋" w:hAnsi="仿宋" w:eastAsia="仿宋"/>
          <w:color w:val="333333"/>
          <w:sz w:val="32"/>
          <w:szCs w:val="32"/>
          <w:shd w:val="clear" w:color="auto" w:fill="FFFFFF"/>
          <w:lang w:val="en-US" w:eastAsia="zh-CN"/>
        </w:rPr>
        <w:t>1133万元。</w:t>
      </w:r>
    </w:p>
    <w:p>
      <w:pPr>
        <w:numPr>
          <w:ilvl w:val="0"/>
          <w:numId w:val="2"/>
        </w:numPr>
        <w:spacing w:line="600" w:lineRule="exact"/>
        <w:ind w:firstLine="643" w:firstLineChars="200"/>
        <w:rPr>
          <w:rFonts w:hint="eastAsia" w:ascii="宋体" w:hAnsi="宋体" w:eastAsia="宋体" w:cs="宋体"/>
          <w:b/>
          <w:bCs/>
          <w:color w:val="333333"/>
          <w:sz w:val="32"/>
          <w:szCs w:val="32"/>
          <w:shd w:val="clear" w:color="auto" w:fill="FFFFFF"/>
          <w:lang w:val="en-US" w:eastAsia="zh-CN"/>
        </w:rPr>
      </w:pPr>
      <w:r>
        <w:rPr>
          <w:rFonts w:hint="eastAsia" w:ascii="宋体" w:hAnsi="宋体" w:eastAsia="宋体" w:cs="宋体"/>
          <w:b/>
          <w:bCs/>
          <w:color w:val="333333"/>
          <w:sz w:val="32"/>
          <w:szCs w:val="32"/>
          <w:shd w:val="clear" w:color="auto" w:fill="FFFFFF"/>
          <w:lang w:val="en-US" w:eastAsia="zh-CN"/>
        </w:rPr>
        <w:t>地方政府债券资金使用安排</w:t>
      </w:r>
      <w:r>
        <w:rPr>
          <w:rFonts w:hint="eastAsia" w:ascii="宋体" w:hAnsi="宋体" w:cs="宋体"/>
          <w:b/>
          <w:bCs/>
          <w:color w:val="333333"/>
          <w:sz w:val="32"/>
          <w:szCs w:val="32"/>
          <w:shd w:val="clear" w:color="auto" w:fill="FFFFFF"/>
          <w:lang w:val="en-US" w:eastAsia="zh-CN"/>
        </w:rPr>
        <w:t>情况</w:t>
      </w:r>
    </w:p>
    <w:p>
      <w:pPr>
        <w:spacing w:line="600" w:lineRule="exact"/>
        <w:ind w:firstLine="640" w:firstLineChars="200"/>
        <w:rPr>
          <w:rFonts w:hint="default" w:ascii="仿宋" w:hAnsi="仿宋" w:eastAsia="仿宋"/>
          <w:color w:val="333333"/>
          <w:sz w:val="32"/>
          <w:szCs w:val="32"/>
          <w:shd w:val="clear" w:color="auto" w:fill="FFFFFF"/>
          <w:lang w:val="en-US" w:eastAsia="zh-CN"/>
        </w:rPr>
      </w:pPr>
      <w:r>
        <w:rPr>
          <w:rFonts w:hint="eastAsia" w:ascii="仿宋" w:hAnsi="仿宋" w:eastAsia="仿宋"/>
          <w:color w:val="333333"/>
          <w:sz w:val="32"/>
          <w:szCs w:val="32"/>
          <w:shd w:val="clear" w:color="auto" w:fill="FFFFFF"/>
          <w:lang w:val="en-US" w:eastAsia="zh-CN"/>
        </w:rPr>
        <w:t>2019年预算没有安排地方政府债券资金。</w:t>
      </w:r>
    </w:p>
    <w:p>
      <w:pPr>
        <w:numPr>
          <w:ilvl w:val="0"/>
          <w:numId w:val="1"/>
        </w:numPr>
        <w:spacing w:line="600" w:lineRule="exact"/>
        <w:ind w:left="0" w:leftChars="0" w:firstLine="640" w:firstLineChars="200"/>
        <w:rPr>
          <w:rFonts w:hint="eastAsia" w:eastAsia="黑体"/>
          <w:sz w:val="32"/>
          <w:szCs w:val="32"/>
          <w:lang w:val="en-US" w:eastAsia="zh-CN"/>
        </w:rPr>
      </w:pPr>
      <w:r>
        <w:rPr>
          <w:rFonts w:hint="eastAsia" w:eastAsia="黑体"/>
          <w:sz w:val="32"/>
          <w:szCs w:val="32"/>
          <w:lang w:val="en-US" w:eastAsia="zh-CN"/>
        </w:rPr>
        <w:t>财政扶贫资金投入情况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2019年我县出台了《绥宁县2019年统筹整合使用财政涉农资金方案》，根据方案安排统筹整合财政涉农资金27529万元，</w:t>
      </w:r>
      <w:r>
        <w:rPr>
          <w:rFonts w:hint="eastAsia" w:ascii="仿宋" w:hAnsi="仿宋" w:eastAsia="仿宋" w:cs="Times New Roman"/>
          <w:color w:val="333333"/>
          <w:sz w:val="32"/>
          <w:szCs w:val="32"/>
          <w:shd w:val="clear" w:color="auto" w:fill="FFFFFF"/>
          <w:lang w:val="en-US" w:eastAsia="zh-CN"/>
        </w:rPr>
        <w:t>分配情况如下：</w:t>
      </w:r>
      <w:r>
        <w:rPr>
          <w:rFonts w:hint="eastAsia" w:ascii="仿宋" w:hAnsi="仿宋" w:eastAsia="仿宋" w:cs="仿宋"/>
          <w:sz w:val="32"/>
          <w:szCs w:val="32"/>
        </w:rPr>
        <w:t>农业生产发展12796万元，农村基础设施建设1386</w:t>
      </w:r>
      <w:r>
        <w:rPr>
          <w:rFonts w:hint="eastAsia" w:ascii="仿宋" w:hAnsi="仿宋" w:eastAsia="仿宋" w:cs="仿宋"/>
          <w:sz w:val="32"/>
          <w:szCs w:val="32"/>
          <w:lang w:val="en-US" w:eastAsia="zh-CN"/>
        </w:rPr>
        <w:t>3</w:t>
      </w:r>
      <w:r>
        <w:rPr>
          <w:rFonts w:hint="eastAsia" w:ascii="仿宋" w:hAnsi="仿宋" w:eastAsia="仿宋" w:cs="仿宋"/>
          <w:sz w:val="32"/>
          <w:szCs w:val="32"/>
        </w:rPr>
        <w:t>万元，其他870万元</w:t>
      </w:r>
      <w:r>
        <w:rPr>
          <w:rFonts w:hint="eastAsia" w:ascii="仿宋" w:hAnsi="仿宋" w:eastAsia="仿宋" w:cs="仿宋"/>
          <w:sz w:val="32"/>
          <w:szCs w:val="32"/>
          <w:lang w:eastAsia="zh-CN"/>
        </w:rPr>
        <w:t>。</w:t>
      </w:r>
    </w:p>
    <w:p>
      <w:pPr>
        <w:numPr>
          <w:ilvl w:val="0"/>
          <w:numId w:val="0"/>
        </w:numPr>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九、预算绩效管理工作开展情况</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2019年，我县认真贯彻落实关于全面实施预算绩效管理的决策部署，加快建立全方位、全过程、全覆盖预算绩效管理体系。</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1、合理确定绩效目标。将绩效目标设置作为预算安排前置环节，采取“绩效股+主管部门+资金管理股室”三方会审形式，对全县121个预算单位2019年绩效目标进行实质性审核。</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严格开展绩效评估。实施自评、互评、外部评价“三结合”，全面客观评估资金使用绩效。推动部门整体支出绩效目标管理、绩效自评工作质量、预算支出财政重点绩效评价结果、绩效评价发现问题的整改落实、协税护税、政府采购等纳入对政府绩效评估考核指标，提升部门加强预算绩效管理主动性和自觉性。</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3、加强财政审计联动。建立“指标共商、信息共享、工作共推、成果共用”财政审计协同联动机制，强化绩效评价结果与预算安排联动，切实做到高效支出加力保障，低效支出大幅压减，无效支出坚决取消。</w:t>
      </w:r>
    </w:p>
    <w:p>
      <w:pPr>
        <w:numPr>
          <w:ilvl w:val="0"/>
          <w:numId w:val="0"/>
        </w:numPr>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十、2019年“三公”经费预算安排说明</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央、省、市关于推进预算信息公开的决策部署和县政府工作安排，经绥宁县财政局汇总，2019年度绥宁县“三公”经费预算，包括县级行政单位（含参照公务员法管理的事业单位）、事业单位、各乡镇人民政府和其他单位使用当年公共财政拨款(包括公共财政经费拨款和纳入公共财政管理的非税收入)安排的因公出国（境）经费、公务接待费、公务用车购置及运行费情况如下：</w:t>
      </w:r>
    </w:p>
    <w:p>
      <w:pPr>
        <w:numPr>
          <w:ilvl w:val="0"/>
          <w:numId w:val="0"/>
        </w:numPr>
        <w:spacing w:line="600" w:lineRule="exact"/>
        <w:ind w:firstLine="640" w:firstLineChars="200"/>
        <w:rPr>
          <w:rFonts w:hint="default" w:ascii="仿宋_GB2312" w:hAnsi="宋体" w:eastAsia="仿宋_GB2312" w:cs="仿宋_GB2312"/>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2019年度“三公”经费预算总额为2960万元，比上年预算数减少335万元，减少原因是我县</w:t>
      </w:r>
      <w:r>
        <w:rPr>
          <w:rFonts w:ascii="仿宋_GB2312" w:hAnsi="宋体" w:eastAsia="仿宋_GB2312" w:cs="仿宋_GB2312"/>
          <w:i w:val="0"/>
          <w:caps w:val="0"/>
          <w:color w:val="000000"/>
          <w:spacing w:val="0"/>
          <w:sz w:val="32"/>
          <w:szCs w:val="32"/>
        </w:rPr>
        <w:t>严格执行中央八项规定，在预算安排中对“三公经费”实行压缩，按照能压则压、该减就减</w:t>
      </w:r>
      <w:r>
        <w:rPr>
          <w:rFonts w:hint="default" w:ascii="仿宋_GB2312" w:hAnsi="宋体" w:eastAsia="仿宋_GB2312" w:cs="仿宋_GB2312"/>
          <w:i w:val="0"/>
          <w:caps w:val="0"/>
          <w:color w:val="000000"/>
          <w:spacing w:val="0"/>
          <w:sz w:val="30"/>
          <w:szCs w:val="30"/>
        </w:rPr>
        <w:t>的原则控制</w:t>
      </w:r>
      <w:r>
        <w:rPr>
          <w:rFonts w:hint="default" w:ascii="仿宋_GB2312" w:hAnsi="宋体" w:eastAsia="仿宋_GB2312" w:cs="仿宋_GB2312"/>
          <w:i w:val="0"/>
          <w:caps w:val="0"/>
          <w:color w:val="000000"/>
          <w:spacing w:val="0"/>
          <w:sz w:val="32"/>
          <w:szCs w:val="32"/>
        </w:rPr>
        <w:t>一般性支出。</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分项情况是：1、因公出国(境)经费预算数为0万元，比上年预算数减少0万元；2、公务接待费预算数1551万元，比上年预算数减少60万元；3、公务用车购置及运行费预算数1409万元，比上年预算数减少275万元。</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p>
    <w:tbl>
      <w:tblPr>
        <w:tblStyle w:val="5"/>
        <w:tblW w:w="8663" w:type="dxa"/>
        <w:tblInd w:w="0" w:type="dxa"/>
        <w:shd w:val="clear" w:color="auto" w:fill="auto"/>
        <w:tblLayout w:type="fixed"/>
        <w:tblCellMar>
          <w:top w:w="0" w:type="dxa"/>
          <w:left w:w="0" w:type="dxa"/>
          <w:bottom w:w="0" w:type="dxa"/>
          <w:right w:w="0" w:type="dxa"/>
        </w:tblCellMar>
      </w:tblPr>
      <w:tblGrid>
        <w:gridCol w:w="998"/>
        <w:gridCol w:w="960"/>
        <w:gridCol w:w="975"/>
        <w:gridCol w:w="1185"/>
        <w:gridCol w:w="1665"/>
        <w:gridCol w:w="1575"/>
        <w:gridCol w:w="1305"/>
      </w:tblGrid>
      <w:tr>
        <w:tblPrEx>
          <w:shd w:val="clear" w:color="auto" w:fill="auto"/>
          <w:tblCellMar>
            <w:top w:w="0" w:type="dxa"/>
            <w:left w:w="0" w:type="dxa"/>
            <w:bottom w:w="0" w:type="dxa"/>
            <w:right w:w="0" w:type="dxa"/>
          </w:tblCellMar>
        </w:tblPrEx>
        <w:trPr>
          <w:trHeight w:val="780"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地区</w:t>
            </w:r>
          </w:p>
        </w:tc>
        <w:tc>
          <w:tcPr>
            <w:tcW w:w="76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三公经费预算数</w:t>
            </w:r>
          </w:p>
        </w:tc>
      </w:tr>
      <w:tr>
        <w:tblPrEx>
          <w:tblCellMar>
            <w:top w:w="0" w:type="dxa"/>
            <w:left w:w="0" w:type="dxa"/>
            <w:bottom w:w="0" w:type="dxa"/>
            <w:right w:w="0" w:type="dxa"/>
          </w:tblCellMar>
        </w:tblPrEx>
        <w:trPr>
          <w:trHeight w:val="675"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小计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公务接待费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公务用车购置及运行费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其中：</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因公出国(境)费用</w:t>
            </w:r>
          </w:p>
        </w:tc>
      </w:tr>
      <w:tr>
        <w:tblPrEx>
          <w:tblCellMar>
            <w:top w:w="0" w:type="dxa"/>
            <w:left w:w="0" w:type="dxa"/>
            <w:bottom w:w="0" w:type="dxa"/>
            <w:right w:w="0" w:type="dxa"/>
          </w:tblCellMar>
        </w:tblPrEx>
        <w:trPr>
          <w:trHeight w:val="48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公务用车购置费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公务用车运行维护费</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525" w:hRule="atLeast"/>
        </w:trPr>
        <w:tc>
          <w:tcPr>
            <w:tcW w:w="9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绥宁县</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2"/>
                <w:szCs w:val="32"/>
                <w:u w:val="none"/>
                <w:lang w:val="en-US"/>
              </w:rPr>
            </w:pPr>
            <w:r>
              <w:rPr>
                <w:rFonts w:hint="eastAsia" w:ascii="宋体" w:hAnsi="宋体" w:eastAsia="宋体" w:cs="宋体"/>
                <w:i w:val="0"/>
                <w:color w:val="000000"/>
                <w:kern w:val="0"/>
                <w:sz w:val="32"/>
                <w:szCs w:val="32"/>
                <w:u w:val="none"/>
                <w:lang w:val="en-US" w:eastAsia="zh-CN" w:bidi="ar"/>
              </w:rPr>
              <w:t>2</w:t>
            </w:r>
            <w:r>
              <w:rPr>
                <w:rFonts w:hint="eastAsia" w:ascii="宋体" w:hAnsi="宋体" w:cs="宋体"/>
                <w:i w:val="0"/>
                <w:color w:val="000000"/>
                <w:kern w:val="0"/>
                <w:sz w:val="32"/>
                <w:szCs w:val="32"/>
                <w:u w:val="none"/>
                <w:lang w:val="en-US" w:eastAsia="zh-CN" w:bidi="ar"/>
              </w:rPr>
              <w:t>960</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2"/>
                <w:szCs w:val="32"/>
                <w:u w:val="none"/>
                <w:lang w:val="en-US"/>
              </w:rPr>
            </w:pPr>
            <w:r>
              <w:rPr>
                <w:rFonts w:hint="eastAsia" w:ascii="宋体" w:hAnsi="宋体" w:cs="宋体"/>
                <w:i w:val="0"/>
                <w:color w:val="000000"/>
                <w:kern w:val="0"/>
                <w:sz w:val="32"/>
                <w:szCs w:val="32"/>
                <w:u w:val="none"/>
                <w:lang w:val="en-US" w:eastAsia="zh-CN" w:bidi="ar"/>
              </w:rPr>
              <w:t>1551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2"/>
                <w:szCs w:val="32"/>
                <w:u w:val="none"/>
                <w:lang w:val="en-US"/>
              </w:rPr>
            </w:pPr>
            <w:r>
              <w:rPr>
                <w:rFonts w:hint="eastAsia" w:ascii="宋体" w:hAnsi="宋体" w:cs="宋体"/>
                <w:i w:val="0"/>
                <w:color w:val="000000"/>
                <w:kern w:val="0"/>
                <w:sz w:val="32"/>
                <w:szCs w:val="32"/>
                <w:u w:val="none"/>
                <w:lang w:val="en-US" w:eastAsia="zh-CN" w:bidi="ar"/>
              </w:rPr>
              <w:t>1409</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cs="宋体"/>
                <w:i w:val="0"/>
                <w:color w:val="000000"/>
                <w:kern w:val="0"/>
                <w:sz w:val="32"/>
                <w:szCs w:val="3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2"/>
                <w:szCs w:val="32"/>
                <w:u w:val="none"/>
                <w:lang w:val="en-US"/>
              </w:rPr>
            </w:pPr>
            <w:r>
              <w:rPr>
                <w:rFonts w:hint="eastAsia" w:ascii="宋体" w:hAnsi="宋体" w:eastAsia="宋体" w:cs="宋体"/>
                <w:i w:val="0"/>
                <w:color w:val="000000"/>
                <w:kern w:val="0"/>
                <w:sz w:val="32"/>
                <w:szCs w:val="32"/>
                <w:u w:val="none"/>
                <w:lang w:val="en-US" w:eastAsia="zh-CN" w:bidi="ar"/>
              </w:rPr>
              <w:t>1</w:t>
            </w:r>
            <w:r>
              <w:rPr>
                <w:rFonts w:hint="eastAsia" w:ascii="宋体" w:hAnsi="宋体" w:cs="宋体"/>
                <w:i w:val="0"/>
                <w:color w:val="000000"/>
                <w:kern w:val="0"/>
                <w:sz w:val="32"/>
                <w:szCs w:val="32"/>
                <w:u w:val="none"/>
                <w:lang w:val="en-US" w:eastAsia="zh-CN" w:bidi="ar"/>
              </w:rPr>
              <w:t>409</w:t>
            </w:r>
          </w:p>
        </w:tc>
        <w:tc>
          <w:tcPr>
            <w:tcW w:w="13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32"/>
                <w:szCs w:val="32"/>
                <w:u w:val="none"/>
                <w:lang w:val="en-US" w:eastAsia="zh-CN"/>
              </w:rPr>
            </w:pPr>
            <w:r>
              <w:rPr>
                <w:rFonts w:hint="eastAsia" w:ascii="宋体" w:hAnsi="宋体" w:eastAsia="宋体" w:cs="宋体"/>
                <w:i w:val="0"/>
                <w:color w:val="000000"/>
                <w:sz w:val="32"/>
                <w:szCs w:val="32"/>
                <w:u w:val="none"/>
                <w:lang w:val="en-US" w:eastAsia="zh-CN"/>
              </w:rPr>
              <w:t>0</w:t>
            </w:r>
          </w:p>
        </w:tc>
      </w:tr>
    </w:tbl>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p>
    <w:p>
      <w:pPr>
        <w:numPr>
          <w:ilvl w:val="0"/>
          <w:numId w:val="0"/>
        </w:numPr>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十一、名词解释</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一般公共预算：是对以税收为主体的财政收入，安排用于保障和改善民生、推动经济社会发展、维护国家安全、维持国家机构正常运转等方面的收支预算，即通常所指的地方财政收入（公共财政预算收入）和地方财政支出（公共财政预算支出）概念。</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政府性基金预算：是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3、社会保险基金预算：是对社会保险缴款、一般公共预算安排和其他方式筹集的资金，专项用于社会保险的收支预算。社会保险基金预算应当按照统筹层次和社会保险项目分别编制，做到收支平衡。</w:t>
      </w:r>
    </w:p>
    <w:p>
      <w:pPr>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4、国有资本经营预算是政府以所有者身份依法取得国有资本收益，并对所得收益进行分配而发生的各项收支预算，是政府预算的重要组成部分。</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F34B9"/>
    <w:multiLevelType w:val="singleLevel"/>
    <w:tmpl w:val="8F7F34B9"/>
    <w:lvl w:ilvl="0" w:tentative="0">
      <w:start w:val="7"/>
      <w:numFmt w:val="chineseCounting"/>
      <w:suff w:val="nothing"/>
      <w:lvlText w:val="%1、"/>
      <w:lvlJc w:val="left"/>
      <w:rPr>
        <w:rFonts w:hint="eastAsia"/>
      </w:rPr>
    </w:lvl>
  </w:abstractNum>
  <w:abstractNum w:abstractNumId="1">
    <w:nsid w:val="65E19F13"/>
    <w:multiLevelType w:val="singleLevel"/>
    <w:tmpl w:val="65E19F1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UwMDYwMzQ1NDEzZWNjMzI5OTJjNGFiNWJkZWZkOTAifQ=="/>
  </w:docVars>
  <w:rsids>
    <w:rsidRoot w:val="00476666"/>
    <w:rsid w:val="001045E8"/>
    <w:rsid w:val="0016748A"/>
    <w:rsid w:val="001C102C"/>
    <w:rsid w:val="002C3055"/>
    <w:rsid w:val="002E37EF"/>
    <w:rsid w:val="0042742A"/>
    <w:rsid w:val="00444DC6"/>
    <w:rsid w:val="00476666"/>
    <w:rsid w:val="00536B57"/>
    <w:rsid w:val="00594CBB"/>
    <w:rsid w:val="005F3041"/>
    <w:rsid w:val="0062776B"/>
    <w:rsid w:val="00651B61"/>
    <w:rsid w:val="006E7382"/>
    <w:rsid w:val="0077269B"/>
    <w:rsid w:val="007B08F1"/>
    <w:rsid w:val="007C3406"/>
    <w:rsid w:val="007D0B30"/>
    <w:rsid w:val="007F1DE6"/>
    <w:rsid w:val="008107E5"/>
    <w:rsid w:val="008F5B86"/>
    <w:rsid w:val="00A45594"/>
    <w:rsid w:val="00A902DA"/>
    <w:rsid w:val="00AE2569"/>
    <w:rsid w:val="00AF46F3"/>
    <w:rsid w:val="00B3072C"/>
    <w:rsid w:val="00BA79AA"/>
    <w:rsid w:val="00CB0717"/>
    <w:rsid w:val="00D810E5"/>
    <w:rsid w:val="00E35073"/>
    <w:rsid w:val="00E4225C"/>
    <w:rsid w:val="01094EB9"/>
    <w:rsid w:val="06231BEF"/>
    <w:rsid w:val="10C62D42"/>
    <w:rsid w:val="12862FE4"/>
    <w:rsid w:val="1B374772"/>
    <w:rsid w:val="21634237"/>
    <w:rsid w:val="2ABC1CF8"/>
    <w:rsid w:val="3441462C"/>
    <w:rsid w:val="410C25EB"/>
    <w:rsid w:val="464B3BE0"/>
    <w:rsid w:val="48944253"/>
    <w:rsid w:val="54FC6679"/>
    <w:rsid w:val="55AE0827"/>
    <w:rsid w:val="597B226D"/>
    <w:rsid w:val="5B6E2D6D"/>
    <w:rsid w:val="5DB008E3"/>
    <w:rsid w:val="5F1C68B9"/>
    <w:rsid w:val="6034004C"/>
    <w:rsid w:val="68770394"/>
    <w:rsid w:val="70976323"/>
    <w:rsid w:val="729E02C3"/>
    <w:rsid w:val="737B575A"/>
    <w:rsid w:val="73C5574B"/>
    <w:rsid w:val="754F4DD8"/>
    <w:rsid w:val="7794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character" w:customStyle="1" w:styleId="9">
    <w:name w:val="apple-converted-space"/>
    <w:basedOn w:val="6"/>
    <w:qFormat/>
    <w:uiPriority w:val="0"/>
  </w:style>
  <w:style w:type="paragraph" w:customStyle="1" w:styleId="10">
    <w:name w:val="Char"/>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3173</Words>
  <Characters>3637</Characters>
  <Lines>16</Lines>
  <Paragraphs>4</Paragraphs>
  <TotalTime>9</TotalTime>
  <ScaleCrop>false</ScaleCrop>
  <LinksUpToDate>false</LinksUpToDate>
  <CharactersWithSpaces>3638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2019-03-02T05:33:00Z</dcterms:created>
  <dc:creator>Administrator</dc:creator>
  <cp:lastModifiedBy>罗</cp:lastModifiedBy>
  <dcterms:modified xsi:type="dcterms:W3CDTF">2022-07-28T06:33:24Z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C582C19DB87A455DA08A7CC03813B9E0</vt:lpwstr>
  </property>
</Properties>
</file>