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6"/>
          <w:szCs w:val="36"/>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p>
    <w:p>
      <w:pPr>
        <w:jc w:val="center"/>
        <w:rPr>
          <w:rFonts w:ascii="黑体" w:hAnsi="黑体" w:eastAsia="黑体"/>
          <w:b/>
          <w:color w:val="000000" w:themeColor="text1"/>
          <w:sz w:val="44"/>
          <w:szCs w:val="44"/>
          <w14:textFill>
            <w14:solidFill>
              <w14:schemeClr w14:val="tx1"/>
            </w14:solidFill>
          </w14:textFill>
        </w:rPr>
      </w:pPr>
      <w:bookmarkStart w:id="0" w:name="_GoBack"/>
      <w:r>
        <w:rPr>
          <w:rFonts w:hint="eastAsia" w:ascii="黑体" w:hAnsi="黑体" w:eastAsia="黑体"/>
          <w:b/>
          <w:color w:val="000000" w:themeColor="text1"/>
          <w:sz w:val="44"/>
          <w:szCs w:val="44"/>
          <w14:textFill>
            <w14:solidFill>
              <w14:schemeClr w14:val="tx1"/>
            </w14:solidFill>
          </w14:textFill>
        </w:rPr>
        <w:t>绥宁县“十四五”财政发展规划</w:t>
      </w:r>
    </w:p>
    <w:bookmarkEnd w:id="0"/>
    <w:p>
      <w:pPr>
        <w:rPr>
          <w:rFonts w:hint="eastAsia"/>
        </w:rPr>
      </w:pPr>
    </w:p>
    <w:p>
      <w:pPr>
        <w:jc w:val="center"/>
        <w:rPr>
          <w:rFonts w:hint="eastAsia" w:ascii="Times New Roman" w:cs="Times New Roman"/>
          <w:b/>
          <w:sz w:val="36"/>
          <w:szCs w:val="36"/>
        </w:rPr>
      </w:pPr>
      <w:r>
        <w:rPr>
          <w:rFonts w:ascii="Times New Roman" w:cs="Times New Roman"/>
          <w:b/>
          <w:sz w:val="36"/>
          <w:szCs w:val="36"/>
        </w:rPr>
        <w:t>（</w:t>
      </w:r>
      <w:r>
        <w:rPr>
          <w:rFonts w:ascii="Times New Roman" w:hAnsi="Times New Roman" w:cs="Times New Roman"/>
          <w:b/>
          <w:sz w:val="36"/>
          <w:szCs w:val="36"/>
        </w:rPr>
        <w:t>2021</w:t>
      </w:r>
      <w:r>
        <w:rPr>
          <w:rFonts w:cs="Times New Roman" w:asciiTheme="minorEastAsia" w:hAnsiTheme="minorEastAsia"/>
          <w:b/>
          <w:sz w:val="36"/>
          <w:szCs w:val="36"/>
        </w:rPr>
        <w:t>-</w:t>
      </w:r>
      <w:r>
        <w:rPr>
          <w:rFonts w:ascii="Times New Roman" w:hAnsi="Times New Roman" w:cs="Times New Roman"/>
          <w:b/>
          <w:sz w:val="36"/>
          <w:szCs w:val="36"/>
        </w:rPr>
        <w:t>2025</w:t>
      </w:r>
      <w:r>
        <w:rPr>
          <w:rFonts w:ascii="Times New Roman" w:cs="Times New Roman"/>
          <w:b/>
          <w:sz w:val="36"/>
          <w:szCs w:val="36"/>
        </w:rPr>
        <w:t>）</w:t>
      </w: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hint="eastAsia"/>
          <w:b/>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ascii="FangSong_GB2312" w:eastAsia="FangSong_GB2312"/>
          <w:b/>
          <w:sz w:val="32"/>
          <w:szCs w:val="32"/>
        </w:rPr>
      </w:pPr>
      <w:r>
        <w:rPr>
          <w:rFonts w:hint="eastAsia" w:ascii="FangSong_GB2312" w:eastAsia="FangSong_GB2312"/>
          <w:b/>
          <w:sz w:val="32"/>
          <w:szCs w:val="32"/>
        </w:rPr>
        <w:t>绥宁县财政局</w:t>
      </w:r>
    </w:p>
    <w:p>
      <w:pPr>
        <w:jc w:val="center"/>
        <w:rPr>
          <w:rFonts w:ascii="FangSong_GB2312" w:eastAsia="FangSong_GB2312"/>
          <w:sz w:val="32"/>
          <w:szCs w:val="32"/>
        </w:rPr>
      </w:pPr>
      <w:r>
        <w:rPr>
          <w:rFonts w:hint="eastAsia" w:ascii="FangSong_GB2312" w:hAnsi="Times New Roman" w:eastAsia="FangSong_GB2312"/>
          <w:sz w:val="32"/>
          <w:szCs w:val="32"/>
        </w:rPr>
        <w:t>2021</w:t>
      </w:r>
      <w:r>
        <w:rPr>
          <w:rFonts w:hint="eastAsia" w:ascii="FangSong_GB2312" w:eastAsia="FangSong_GB2312"/>
          <w:sz w:val="32"/>
          <w:szCs w:val="32"/>
        </w:rPr>
        <w:t>年2月</w:t>
      </w:r>
    </w:p>
    <w:p>
      <w:pPr>
        <w:jc w:val="center"/>
        <w:rPr>
          <w:rFonts w:ascii="KaiTi_GB2312" w:hAnsi="KaiTi_GB2312" w:eastAsia="KaiTi_GB2312" w:cs="KaiTi_GB2312"/>
          <w:b/>
          <w:szCs w:val="21"/>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ascii="KaiTi_GB2312" w:hAnsi="KaiTi_GB2312" w:cs="KaiTi_GB2312"/>
          <w:b/>
          <w:sz w:val="36"/>
          <w:szCs w:val="36"/>
        </w:rPr>
      </w:pPr>
    </w:p>
    <w:p>
      <w:pPr>
        <w:jc w:val="center"/>
        <w:rPr>
          <w:rFonts w:hint="eastAsia"/>
          <w:b/>
          <w:sz w:val="36"/>
          <w:szCs w:val="36"/>
        </w:rPr>
      </w:pPr>
      <w:r>
        <w:rPr>
          <w:rFonts w:hint="eastAsia" w:ascii="KaiTi_GB2312" w:hAnsi="KaiTi_GB2312" w:eastAsia="KaiTi_GB2312" w:cs="KaiTi_GB2312"/>
          <w:b/>
          <w:sz w:val="36"/>
          <w:szCs w:val="36"/>
        </w:rPr>
        <w:t>目 录</w:t>
      </w:r>
    </w:p>
    <w:p>
      <w:pPr>
        <w:pStyle w:val="22"/>
        <w:tabs>
          <w:tab w:val="right" w:leader="dot" w:pos="8306"/>
        </w:tabs>
        <w:jc w:val="both"/>
        <w:rPr>
          <w:rFonts w:ascii="FangSong_GB2312" w:eastAsia="FangSong_GB2312"/>
          <w:b/>
        </w:rPr>
      </w:pPr>
      <w:r>
        <w:fldChar w:fldCharType="begin"/>
      </w:r>
      <w:r>
        <w:instrText xml:space="preserve">TOC \o "1-2" \h \u </w:instrText>
      </w:r>
      <w:r>
        <w:fldChar w:fldCharType="separate"/>
      </w:r>
    </w:p>
    <w:p>
      <w:pPr>
        <w:pStyle w:val="22"/>
        <w:tabs>
          <w:tab w:val="right" w:leader="dot" w:pos="8306"/>
        </w:tabs>
        <w:jc w:val="both"/>
        <w:rPr>
          <w:rFonts w:ascii="FangSong_GB2312" w:hAnsi="仿宋" w:eastAsia="FangSong_GB2312" w:cs="仿宋"/>
          <w:b/>
          <w:sz w:val="28"/>
          <w:szCs w:val="28"/>
        </w:rPr>
      </w:pPr>
      <w:r>
        <w:fldChar w:fldCharType="begin"/>
      </w:r>
      <w:r>
        <w:instrText xml:space="preserve"> HYPERLINK \l "_Toc24218" </w:instrText>
      </w:r>
      <w:r>
        <w:fldChar w:fldCharType="separate"/>
      </w:r>
      <w:r>
        <w:rPr>
          <w:rFonts w:hint="eastAsia" w:ascii="FangSong_GB2312" w:hAnsi="仿宋" w:eastAsia="FangSong_GB2312" w:cs="仿宋"/>
          <w:b/>
          <w:sz w:val="28"/>
          <w:szCs w:val="28"/>
        </w:rPr>
        <w:t>一、发展基础与环境</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w:t>
      </w:r>
      <w:r>
        <w:rPr>
          <w:rFonts w:hint="eastAsia" w:ascii="FangSong_GB2312" w:hAnsi="仿宋" w:eastAsia="FangSong_GB2312" w:cs="仿宋"/>
          <w:b/>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一）“十三五”财政</w:t>
      </w:r>
      <w:r>
        <w:rPr>
          <w:rFonts w:hint="eastAsia" w:ascii="FangSong_GB2312" w:hAnsi="仿宋" w:eastAsia="FangSong_GB2312" w:cs="仿宋"/>
          <w:sz w:val="28"/>
          <w:szCs w:val="28"/>
        </w:rPr>
        <w:t>发展回顾</w:t>
      </w:r>
      <w:r>
        <w:rPr>
          <w:rFonts w:hint="eastAsia" w:ascii="FangSong_GB2312" w:hAnsi="仿宋" w:eastAsia="FangSong_GB2312" w:cs="仿宋"/>
          <w:sz w:val="28"/>
          <w:szCs w:val="28"/>
        </w:rPr>
        <w:tab/>
      </w:r>
      <w:r>
        <w:rPr>
          <w:rFonts w:hint="eastAsia" w:ascii="FangSong_GB2312" w:hAnsi="仿宋" w:eastAsia="FangSong_GB2312" w:cs="仿宋"/>
          <w:sz w:val="28"/>
          <w:szCs w:val="28"/>
        </w:rPr>
        <w:t>1</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二）“十四五”财政发展环境</w:t>
      </w:r>
      <w:r>
        <w:rPr>
          <w:rFonts w:hint="eastAsia" w:ascii="FangSong_GB2312" w:hAnsi="仿宋" w:eastAsia="FangSong_GB2312" w:cs="仿宋"/>
          <w:sz w:val="28"/>
          <w:szCs w:val="28"/>
        </w:rPr>
        <w:tab/>
      </w:r>
      <w:r>
        <w:rPr>
          <w:rFonts w:hint="eastAsia" w:ascii="FangSong_GB2312" w:hAnsi="仿宋" w:eastAsia="FangSong_GB2312" w:cs="仿宋"/>
          <w:sz w:val="28"/>
          <w:szCs w:val="28"/>
        </w:rPr>
        <w:t>8</w:t>
      </w:r>
      <w:r>
        <w:rPr>
          <w:rFonts w:hint="eastAsia" w:ascii="FangSong_GB2312" w:hAnsi="仿宋" w:eastAsia="FangSong_GB2312" w:cs="仿宋"/>
          <w:sz w:val="28"/>
          <w:szCs w:val="28"/>
        </w:rPr>
        <w:fldChar w:fldCharType="end"/>
      </w:r>
    </w:p>
    <w:p>
      <w:pPr>
        <w:pStyle w:val="22"/>
        <w:tabs>
          <w:tab w:val="right" w:leader="dot" w:pos="8306"/>
        </w:tabs>
        <w:jc w:val="both"/>
        <w:rPr>
          <w:rFonts w:ascii="FangSong_GB2312" w:hAnsi="仿宋" w:eastAsia="FangSong_GB2312" w:cs="仿宋"/>
          <w:b/>
          <w:sz w:val="28"/>
          <w:szCs w:val="28"/>
        </w:rPr>
      </w:pPr>
      <w:r>
        <w:fldChar w:fldCharType="begin"/>
      </w:r>
      <w:r>
        <w:instrText xml:space="preserve"> HYPERLINK \l "_Toc28701" </w:instrText>
      </w:r>
      <w:r>
        <w:fldChar w:fldCharType="separate"/>
      </w:r>
      <w:r>
        <w:rPr>
          <w:rFonts w:hint="eastAsia" w:ascii="FangSong_GB2312" w:hAnsi="仿宋" w:eastAsia="FangSong_GB2312" w:cs="仿宋"/>
          <w:b/>
          <w:sz w:val="28"/>
          <w:szCs w:val="28"/>
        </w:rPr>
        <w:t>二、发展思路与目标</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11</w:t>
      </w:r>
      <w:r>
        <w:rPr>
          <w:rFonts w:hint="eastAsia" w:ascii="FangSong_GB2312" w:hAnsi="仿宋" w:eastAsia="FangSong_GB2312" w:cs="仿宋"/>
          <w:b/>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一）</w:t>
      </w:r>
      <w:r>
        <w:rPr>
          <w:rFonts w:hint="eastAsia" w:ascii="FangSong_GB2312" w:hAnsi="仿宋" w:eastAsia="FangSong_GB2312" w:cs="仿宋"/>
          <w:sz w:val="28"/>
          <w:szCs w:val="28"/>
        </w:rPr>
        <w:t>指导思想</w:t>
      </w:r>
      <w:r>
        <w:rPr>
          <w:rFonts w:hint="eastAsia" w:ascii="FangSong_GB2312" w:hAnsi="仿宋" w:eastAsia="FangSong_GB2312" w:cs="仿宋"/>
          <w:sz w:val="28"/>
          <w:szCs w:val="28"/>
        </w:rPr>
        <w:tab/>
      </w:r>
      <w:r>
        <w:rPr>
          <w:rFonts w:hint="eastAsia" w:ascii="FangSong_GB2312" w:hAnsi="仿宋" w:eastAsia="FangSong_GB2312" w:cs="仿宋"/>
          <w:sz w:val="28"/>
          <w:szCs w:val="28"/>
        </w:rPr>
        <w:t>11</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"_Toc20403" </w:instrText>
      </w:r>
      <w:r>
        <w:fldChar w:fldCharType="separate"/>
      </w:r>
      <w:r>
        <w:rPr>
          <w:rFonts w:hint="eastAsia" w:ascii="FangSong_GB2312" w:hAnsi="仿宋" w:eastAsia="FangSong_GB2312"/>
          <w:sz w:val="28"/>
          <w:szCs w:val="28"/>
        </w:rPr>
        <w:t>二）发展思路</w:t>
      </w:r>
      <w:r>
        <w:rPr>
          <w:rFonts w:hint="eastAsia" w:ascii="FangSong_GB2312" w:hAnsi="仿宋" w:eastAsia="FangSong_GB2312" w:cs="仿宋"/>
          <w:sz w:val="28"/>
          <w:szCs w:val="28"/>
        </w:rPr>
        <w:tab/>
      </w:r>
      <w:r>
        <w:rPr>
          <w:rFonts w:hint="eastAsia" w:ascii="FangSong_GB2312" w:hAnsi="仿宋" w:eastAsia="FangSong_GB2312" w:cs="仿宋"/>
          <w:sz w:val="28"/>
          <w:szCs w:val="28"/>
        </w:rPr>
        <w:fldChar w:fldCharType="begin"/>
      </w:r>
      <w:r>
        <w:rPr>
          <w:rFonts w:hint="eastAsia" w:ascii="FangSong_GB2312" w:hAnsi="仿宋" w:eastAsia="FangSong_GB2312" w:cs="仿宋"/>
          <w:sz w:val="28"/>
          <w:szCs w:val="28"/>
        </w:rPr>
        <w:instrText xml:space="preserve"> PAGEREF _Toc20403 </w:instrText>
      </w:r>
      <w:r>
        <w:rPr>
          <w:rFonts w:hint="eastAsia" w:ascii="FangSong_GB2312" w:hAnsi="仿宋" w:eastAsia="FangSong_GB2312" w:cs="仿宋"/>
          <w:sz w:val="28"/>
          <w:szCs w:val="28"/>
        </w:rPr>
        <w:fldChar w:fldCharType="separate"/>
      </w:r>
      <w:r>
        <w:rPr>
          <w:rFonts w:hint="eastAsia" w:ascii="FangSong_GB2312" w:hAnsi="仿宋" w:eastAsia="FangSong_GB2312" w:cs="仿宋"/>
          <w:sz w:val="28"/>
          <w:szCs w:val="28"/>
        </w:rPr>
        <w:t>11</w:t>
      </w:r>
      <w:r>
        <w:rPr>
          <w:rFonts w:hint="eastAsia" w:ascii="FangSong_GB2312" w:hAnsi="仿宋" w:eastAsia="FangSong_GB2312" w:cs="仿宋"/>
          <w:sz w:val="28"/>
          <w:szCs w:val="28"/>
        </w:rPr>
        <w:fldChar w:fldCharType="end"/>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"_Toc10811" </w:instrText>
      </w:r>
      <w:r>
        <w:fldChar w:fldCharType="separate"/>
      </w:r>
      <w:r>
        <w:rPr>
          <w:rFonts w:hint="eastAsia" w:ascii="FangSong_GB2312" w:hAnsi="仿宋" w:eastAsia="FangSong_GB2312"/>
          <w:sz w:val="28"/>
          <w:szCs w:val="28"/>
        </w:rPr>
        <w:t>三）发展目标</w:t>
      </w:r>
      <w:r>
        <w:rPr>
          <w:rFonts w:hint="eastAsia" w:ascii="FangSong_GB2312" w:hAnsi="仿宋" w:eastAsia="FangSong_GB2312" w:cs="仿宋"/>
          <w:sz w:val="28"/>
          <w:szCs w:val="28"/>
        </w:rPr>
        <w:tab/>
      </w:r>
      <w:r>
        <w:rPr>
          <w:rFonts w:hint="eastAsia" w:ascii="FangSong_GB2312" w:hAnsi="仿宋" w:eastAsia="FangSong_GB2312" w:cs="仿宋"/>
          <w:sz w:val="28"/>
          <w:szCs w:val="28"/>
        </w:rPr>
        <w:fldChar w:fldCharType="begin"/>
      </w:r>
      <w:r>
        <w:rPr>
          <w:rFonts w:hint="eastAsia" w:ascii="FangSong_GB2312" w:hAnsi="仿宋" w:eastAsia="FangSong_GB2312" w:cs="仿宋"/>
          <w:sz w:val="28"/>
          <w:szCs w:val="28"/>
        </w:rPr>
        <w:instrText xml:space="preserve"> PAGEREF _Toc10811 </w:instrText>
      </w:r>
      <w:r>
        <w:rPr>
          <w:rFonts w:hint="eastAsia" w:ascii="FangSong_GB2312" w:hAnsi="仿宋" w:eastAsia="FangSong_GB2312" w:cs="仿宋"/>
          <w:sz w:val="28"/>
          <w:szCs w:val="28"/>
        </w:rPr>
        <w:fldChar w:fldCharType="separate"/>
      </w:r>
      <w:r>
        <w:rPr>
          <w:rFonts w:hint="eastAsia" w:ascii="FangSong_GB2312" w:hAnsi="仿宋" w:eastAsia="FangSong_GB2312" w:cs="仿宋"/>
          <w:sz w:val="28"/>
          <w:szCs w:val="28"/>
        </w:rPr>
        <w:t>13</w:t>
      </w:r>
      <w:r>
        <w:rPr>
          <w:rFonts w:hint="eastAsia" w:ascii="FangSong_GB2312" w:hAnsi="仿宋" w:eastAsia="FangSong_GB2312" w:cs="仿宋"/>
          <w:sz w:val="28"/>
          <w:szCs w:val="28"/>
        </w:rPr>
        <w:fldChar w:fldCharType="end"/>
      </w:r>
      <w:r>
        <w:rPr>
          <w:rFonts w:hint="eastAsia" w:ascii="FangSong_GB2312" w:hAnsi="仿宋" w:eastAsia="FangSong_GB2312" w:cs="仿宋"/>
          <w:sz w:val="28"/>
          <w:szCs w:val="28"/>
        </w:rPr>
        <w:fldChar w:fldCharType="end"/>
      </w:r>
    </w:p>
    <w:p>
      <w:pPr>
        <w:pStyle w:val="22"/>
        <w:tabs>
          <w:tab w:val="right" w:leader="dot" w:pos="8306"/>
        </w:tabs>
        <w:jc w:val="both"/>
        <w:rPr>
          <w:rFonts w:ascii="FangSong_GB2312" w:hAnsi="仿宋" w:eastAsia="FangSong_GB2312" w:cs="仿宋"/>
          <w:b/>
          <w:sz w:val="28"/>
          <w:szCs w:val="28"/>
        </w:rPr>
      </w:pPr>
      <w:r>
        <w:fldChar w:fldCharType="begin"/>
      </w:r>
      <w:r>
        <w:instrText xml:space="preserve"> HYPERLINK \l "_Toc32227" </w:instrText>
      </w:r>
      <w:r>
        <w:fldChar w:fldCharType="separate"/>
      </w:r>
      <w:r>
        <w:rPr>
          <w:rFonts w:hint="eastAsia" w:ascii="FangSong_GB2312" w:hAnsi="仿宋" w:eastAsia="FangSong_GB2312" w:cs="仿宋"/>
          <w:b/>
          <w:kern w:val="44"/>
          <w:sz w:val="28"/>
          <w:szCs w:val="28"/>
        </w:rPr>
        <w:t>三、发展任务</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14</w:t>
      </w:r>
      <w:r>
        <w:rPr>
          <w:rFonts w:hint="eastAsia" w:ascii="FangSong_GB2312" w:hAnsi="仿宋" w:eastAsia="FangSong_GB2312" w:cs="仿宋"/>
          <w:b/>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"_Toc1029" </w:instrText>
      </w:r>
      <w:r>
        <w:fldChar w:fldCharType="separate"/>
      </w:r>
      <w:r>
        <w:rPr>
          <w:rFonts w:hint="eastAsia" w:ascii="FangSong_GB2312" w:hAnsi="仿宋" w:eastAsia="FangSong_GB2312"/>
          <w:sz w:val="28"/>
          <w:szCs w:val="28"/>
        </w:rPr>
        <w:t>一）全面深化财税改革</w:t>
      </w:r>
      <w:r>
        <w:rPr>
          <w:rFonts w:hint="eastAsia" w:ascii="FangSong_GB2312" w:hAnsi="仿宋" w:eastAsia="FangSong_GB2312" w:cs="仿宋"/>
          <w:sz w:val="28"/>
          <w:szCs w:val="28"/>
        </w:rPr>
        <w:tab/>
      </w:r>
      <w:r>
        <w:rPr>
          <w:rFonts w:hint="eastAsia" w:ascii="FangSong_GB2312" w:hAnsi="仿宋" w:eastAsia="FangSong_GB2312" w:cs="仿宋"/>
          <w:sz w:val="28"/>
          <w:szCs w:val="28"/>
        </w:rPr>
        <w:t>14</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二）深入规范</w:t>
      </w:r>
      <w:r>
        <w:rPr>
          <w:rFonts w:hint="eastAsia" w:ascii="FangSong_GB2312" w:hAnsi="仿宋" w:eastAsia="FangSong_GB2312"/>
          <w:color w:val="000000" w:themeColor="text1"/>
          <w:sz w:val="28"/>
          <w:szCs w:val="28"/>
          <w14:textFill>
            <w14:solidFill>
              <w14:schemeClr w14:val="tx1"/>
            </w14:solidFill>
          </w14:textFill>
        </w:rPr>
        <w:t>财政管理</w:t>
      </w:r>
      <w:r>
        <w:rPr>
          <w:rFonts w:hint="eastAsia" w:ascii="FangSong_GB2312" w:hAnsi="仿宋" w:eastAsia="FangSong_GB2312" w:cs="仿宋"/>
          <w:sz w:val="28"/>
          <w:szCs w:val="28"/>
        </w:rPr>
        <w:tab/>
      </w:r>
      <w:r>
        <w:rPr>
          <w:rFonts w:hint="eastAsia" w:ascii="FangSong_GB2312" w:hAnsi="仿宋" w:eastAsia="FangSong_GB2312" w:cs="仿宋"/>
          <w:sz w:val="28"/>
          <w:szCs w:val="28"/>
        </w:rPr>
        <w:t>15</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三）服务发展县域经济</w:t>
      </w:r>
      <w:r>
        <w:rPr>
          <w:rFonts w:hint="eastAsia" w:ascii="FangSong_GB2312" w:hAnsi="仿宋" w:eastAsia="FangSong_GB2312" w:cs="仿宋"/>
          <w:sz w:val="28"/>
          <w:szCs w:val="28"/>
        </w:rPr>
        <w:tab/>
      </w:r>
      <w:r>
        <w:rPr>
          <w:rFonts w:hint="eastAsia" w:ascii="FangSong_GB2312" w:hAnsi="仿宋" w:eastAsia="FangSong_GB2312" w:cs="仿宋"/>
          <w:sz w:val="28"/>
          <w:szCs w:val="28"/>
        </w:rPr>
        <w:t>16</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四）</w:t>
      </w:r>
      <w:r>
        <w:rPr>
          <w:rFonts w:hint="eastAsia" w:ascii="FangSong_GB2312" w:hAnsi="仿宋" w:eastAsia="FangSong_GB2312"/>
          <w:color w:val="000000" w:themeColor="text1"/>
          <w:sz w:val="28"/>
          <w:szCs w:val="28"/>
          <w14:textFill>
            <w14:solidFill>
              <w14:schemeClr w14:val="tx1"/>
            </w14:solidFill>
          </w14:textFill>
        </w:rPr>
        <w:t>倾力落实民生保障政策</w:t>
      </w:r>
      <w:r>
        <w:rPr>
          <w:rFonts w:hint="eastAsia" w:ascii="FangSong_GB2312" w:hAnsi="仿宋" w:eastAsia="FangSong_GB2312" w:cs="仿宋"/>
          <w:sz w:val="28"/>
          <w:szCs w:val="28"/>
        </w:rPr>
        <w:tab/>
      </w:r>
      <w:r>
        <w:rPr>
          <w:rFonts w:hint="eastAsia" w:ascii="FangSong_GB2312" w:hAnsi="仿宋" w:eastAsia="FangSong_GB2312" w:cs="仿宋"/>
          <w:sz w:val="28"/>
          <w:szCs w:val="28"/>
        </w:rPr>
        <w:t>18</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五）支持乡村振兴战略</w:t>
      </w:r>
      <w:r>
        <w:rPr>
          <w:rFonts w:hint="eastAsia" w:ascii="FangSong_GB2312" w:hAnsi="仿宋" w:eastAsia="FangSong_GB2312" w:cs="仿宋"/>
          <w:sz w:val="28"/>
          <w:szCs w:val="28"/>
        </w:rPr>
        <w:tab/>
      </w:r>
      <w:r>
        <w:rPr>
          <w:rFonts w:hint="eastAsia" w:ascii="FangSong_GB2312" w:hAnsi="仿宋" w:eastAsia="FangSong_GB2312" w:cs="仿宋"/>
          <w:sz w:val="28"/>
          <w:szCs w:val="28"/>
        </w:rPr>
        <w:t>20</w:t>
      </w:r>
      <w:r>
        <w:rPr>
          <w:rFonts w:hint="eastAsia" w:ascii="FangSong_GB2312" w:hAnsi="仿宋" w:eastAsia="FangSong_GB2312" w:cs="仿宋"/>
          <w:sz w:val="28"/>
          <w:szCs w:val="28"/>
        </w:rPr>
        <w:fldChar w:fldCharType="end"/>
      </w:r>
    </w:p>
    <w:p>
      <w:pPr>
        <w:pStyle w:val="22"/>
        <w:tabs>
          <w:tab w:val="right" w:leader="dot" w:pos="8306"/>
        </w:tabs>
        <w:jc w:val="both"/>
        <w:rPr>
          <w:rFonts w:ascii="FangSong_GB2312" w:hAnsi="仿宋" w:eastAsia="FangSong_GB2312" w:cs="仿宋"/>
          <w:b/>
          <w:sz w:val="28"/>
          <w:szCs w:val="28"/>
        </w:rPr>
      </w:pPr>
      <w:r>
        <w:fldChar w:fldCharType="begin"/>
      </w:r>
      <w:r>
        <w:instrText xml:space="preserve"> HYPERLINK \l "_Toc19834" </w:instrText>
      </w:r>
      <w:r>
        <w:fldChar w:fldCharType="separate"/>
      </w:r>
      <w:r>
        <w:rPr>
          <w:rFonts w:hint="eastAsia" w:ascii="FangSong_GB2312" w:hAnsi="仿宋" w:eastAsia="FangSong_GB2312" w:cs="仿宋"/>
          <w:b/>
          <w:kern w:val="44"/>
          <w:sz w:val="28"/>
          <w:szCs w:val="28"/>
        </w:rPr>
        <w:t>四、保障措施</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21</w:t>
      </w:r>
      <w:r>
        <w:rPr>
          <w:rFonts w:hint="eastAsia" w:ascii="FangSong_GB2312" w:hAnsi="仿宋" w:eastAsia="FangSong_GB2312" w:cs="仿宋"/>
          <w:b/>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"_Toc20618" </w:instrText>
      </w:r>
      <w:r>
        <w:fldChar w:fldCharType="separate"/>
      </w:r>
      <w:r>
        <w:rPr>
          <w:rFonts w:hint="eastAsia" w:ascii="FangSong_GB2312" w:hAnsi="仿宋" w:eastAsia="FangSong_GB2312"/>
          <w:sz w:val="28"/>
          <w:szCs w:val="28"/>
        </w:rPr>
        <w:t>一）制度保障</w:t>
      </w:r>
      <w:r>
        <w:rPr>
          <w:rFonts w:hint="eastAsia" w:ascii="FangSong_GB2312" w:hAnsi="仿宋" w:eastAsia="FangSong_GB2312" w:cs="仿宋"/>
          <w:sz w:val="28"/>
          <w:szCs w:val="28"/>
        </w:rPr>
        <w:tab/>
      </w:r>
      <w:r>
        <w:rPr>
          <w:rFonts w:hint="eastAsia" w:ascii="FangSong_GB2312" w:hAnsi="仿宋" w:eastAsia="FangSong_GB2312" w:cs="仿宋"/>
          <w:sz w:val="28"/>
          <w:szCs w:val="28"/>
        </w:rPr>
        <w:t>21</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"_Toc13734" </w:instrText>
      </w:r>
      <w:r>
        <w:fldChar w:fldCharType="separate"/>
      </w:r>
      <w:r>
        <w:rPr>
          <w:rFonts w:hint="eastAsia" w:ascii="FangSong_GB2312" w:hAnsi="仿宋" w:eastAsia="FangSong_GB2312"/>
          <w:sz w:val="28"/>
          <w:szCs w:val="28"/>
        </w:rPr>
        <w:t>二）机制保障</w:t>
      </w:r>
      <w:r>
        <w:rPr>
          <w:rFonts w:hint="eastAsia" w:ascii="FangSong_GB2312" w:hAnsi="仿宋" w:eastAsia="FangSong_GB2312" w:cs="仿宋"/>
          <w:sz w:val="28"/>
          <w:szCs w:val="28"/>
        </w:rPr>
        <w:tab/>
      </w:r>
      <w:r>
        <w:rPr>
          <w:rFonts w:hint="eastAsia" w:ascii="FangSong_GB2312" w:hAnsi="仿宋" w:eastAsia="FangSong_GB2312" w:cs="仿宋"/>
          <w:sz w:val="28"/>
          <w:szCs w:val="28"/>
        </w:rPr>
        <w:t>22</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FangSong_GB2312" w:hAnsi="仿宋" w:eastAsia="FangSong_GB2312" w:cs="仿宋"/>
          <w:sz w:val="28"/>
          <w:szCs w:val="28"/>
        </w:rPr>
      </w:pPr>
      <w:r>
        <w:rPr>
          <w:rFonts w:hint="eastAsia" w:ascii="FangSong_GB2312" w:eastAsia="FangSong_GB2312"/>
          <w:sz w:val="28"/>
          <w:szCs w:val="28"/>
        </w:rPr>
        <w:t>（</w:t>
      </w:r>
      <w:r>
        <w:fldChar w:fldCharType="begin"/>
      </w:r>
      <w:r>
        <w:instrText xml:space="preserve"> HYPERLINK \l "_Toc22815" </w:instrText>
      </w:r>
      <w:r>
        <w:fldChar w:fldCharType="separate"/>
      </w:r>
      <w:r>
        <w:rPr>
          <w:rFonts w:hint="eastAsia" w:ascii="FangSong_GB2312" w:hAnsi="仿宋" w:eastAsia="FangSong_GB2312"/>
          <w:sz w:val="28"/>
          <w:szCs w:val="28"/>
        </w:rPr>
        <w:t>三）组织保障</w:t>
      </w:r>
      <w:r>
        <w:rPr>
          <w:rFonts w:hint="eastAsia" w:ascii="FangSong_GB2312" w:hAnsi="仿宋" w:eastAsia="FangSong_GB2312" w:cs="仿宋"/>
          <w:sz w:val="28"/>
          <w:szCs w:val="28"/>
        </w:rPr>
        <w:tab/>
      </w:r>
      <w:r>
        <w:rPr>
          <w:rFonts w:hint="eastAsia" w:ascii="FangSong_GB2312" w:hAnsi="仿宋" w:eastAsia="FangSong_GB2312" w:cs="仿宋"/>
          <w:sz w:val="28"/>
          <w:szCs w:val="28"/>
        </w:rPr>
        <w:t>22</w:t>
      </w:r>
      <w:r>
        <w:rPr>
          <w:rFonts w:hint="eastAsia" w:ascii="FangSong_GB2312" w:hAnsi="仿宋" w:eastAsia="FangSong_GB2312" w:cs="仿宋"/>
          <w:sz w:val="28"/>
          <w:szCs w:val="28"/>
        </w:rPr>
        <w:fldChar w:fldCharType="end"/>
      </w:r>
    </w:p>
    <w:p>
      <w:pPr>
        <w:pStyle w:val="23"/>
        <w:tabs>
          <w:tab w:val="right" w:leader="dot" w:pos="8306"/>
        </w:tabs>
        <w:ind w:left="420"/>
        <w:jc w:val="both"/>
        <w:rPr>
          <w:rFonts w:ascii="仿宋" w:hAnsi="仿宋" w:eastAsia="仿宋" w:cs="仿宋"/>
          <w:sz w:val="28"/>
          <w:szCs w:val="28"/>
        </w:rPr>
      </w:pPr>
      <w:r>
        <w:rPr>
          <w:rFonts w:hint="eastAsia" w:ascii="FangSong_GB2312" w:eastAsia="FangSong_GB2312"/>
          <w:sz w:val="28"/>
          <w:szCs w:val="28"/>
        </w:rPr>
        <w:t>（</w:t>
      </w:r>
      <w:r>
        <w:fldChar w:fldCharType="begin"/>
      </w:r>
      <w:r>
        <w:instrText xml:space="preserve"> HYPERLINK \l "_Toc22815" </w:instrText>
      </w:r>
      <w:r>
        <w:fldChar w:fldCharType="separate"/>
      </w:r>
      <w:r>
        <w:rPr>
          <w:rFonts w:hint="eastAsia" w:ascii="FangSong_GB2312" w:hAnsi="仿宋" w:eastAsia="FangSong_GB2312"/>
          <w:sz w:val="28"/>
          <w:szCs w:val="28"/>
        </w:rPr>
        <w:t>四）人才保障</w:t>
      </w:r>
      <w:r>
        <w:rPr>
          <w:rFonts w:hint="eastAsia" w:ascii="FangSong_GB2312" w:hAnsi="仿宋" w:eastAsia="FangSong_GB2312" w:cs="仿宋"/>
          <w:sz w:val="28"/>
          <w:szCs w:val="28"/>
        </w:rPr>
        <w:tab/>
      </w:r>
      <w:r>
        <w:rPr>
          <w:rFonts w:hint="eastAsia" w:ascii="FangSong_GB2312" w:hAnsi="仿宋" w:eastAsia="FangSong_GB2312" w:cs="仿宋"/>
          <w:sz w:val="28"/>
          <w:szCs w:val="28"/>
        </w:rPr>
        <w:t>23</w:t>
      </w:r>
      <w:r>
        <w:rPr>
          <w:rFonts w:hint="eastAsia" w:ascii="FangSong_GB2312" w:hAnsi="仿宋" w:eastAsia="FangSong_GB2312" w:cs="仿宋"/>
          <w:sz w:val="28"/>
          <w:szCs w:val="28"/>
        </w:rPr>
        <w:fldChar w:fldCharType="end"/>
      </w:r>
    </w:p>
    <w:p>
      <w:pPr>
        <w:rPr>
          <w:rFonts w:hint="eastAsia"/>
        </w:rPr>
      </w:pPr>
      <w:r>
        <w:rPr>
          <w:b/>
        </w:rPr>
        <w:fldChar w:fldCharType="end"/>
      </w:r>
    </w:p>
    <w:p>
      <w:pPr>
        <w:jc w:val="center"/>
        <w:rPr>
          <w:rFonts w:ascii="黑体" w:hAnsi="黑体" w:eastAsia="黑体"/>
          <w:color w:val="000000" w:themeColor="text1"/>
          <w:szCs w:val="21"/>
          <w14:textFill>
            <w14:solidFill>
              <w14:schemeClr w14:val="tx1"/>
            </w14:solidFill>
          </w14:textFill>
        </w:rPr>
      </w:pPr>
    </w:p>
    <w:p>
      <w:pPr>
        <w:jc w:val="center"/>
        <w:rPr>
          <w:rFonts w:ascii="黑体" w:hAnsi="黑体" w:eastAsia="黑体"/>
          <w:color w:val="000000" w:themeColor="text1"/>
          <w:szCs w:val="21"/>
          <w14:textFill>
            <w14:solidFill>
              <w14:schemeClr w14:val="tx1"/>
            </w14:solidFill>
          </w14:textFill>
        </w:rPr>
      </w:pPr>
    </w:p>
    <w:p>
      <w:pPr>
        <w:adjustRightInd w:val="0"/>
        <w:snapToGrid w:val="0"/>
        <w:spacing w:line="600" w:lineRule="exact"/>
        <w:jc w:val="center"/>
        <w:rPr>
          <w:rFonts w:ascii="黑体" w:hAnsi="黑体" w:eastAsia="黑体"/>
          <w:color w:val="000000" w:themeColor="text1"/>
          <w:sz w:val="36"/>
          <w:szCs w:val="36"/>
          <w14:textFill>
            <w14:solidFill>
              <w14:schemeClr w14:val="tx1"/>
            </w14:solidFill>
          </w14:textFill>
        </w:rPr>
      </w:pPr>
    </w:p>
    <w:p>
      <w:pPr>
        <w:adjustRightInd w:val="0"/>
        <w:snapToGrid w:val="0"/>
        <w:spacing w:line="60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前 言</w:t>
      </w:r>
    </w:p>
    <w:p>
      <w:pPr>
        <w:widowControl/>
        <w:shd w:val="clear" w:color="auto" w:fill="FFFFFF"/>
        <w:adjustRightInd w:val="0"/>
        <w:snapToGrid w:val="0"/>
        <w:spacing w:beforeLines="50" w:line="600" w:lineRule="exact"/>
        <w:ind w:firstLine="640" w:firstLineChars="200"/>
        <w:rPr>
          <w:rFonts w:ascii="FangSong_GB2312" w:hAnsi="仿宋" w:eastAsia="FangSong_GB2312" w:cs="宋体"/>
          <w:color w:val="333333"/>
          <w:kern w:val="0"/>
          <w:sz w:val="32"/>
          <w:szCs w:val="32"/>
        </w:rPr>
      </w:pPr>
      <w:r>
        <w:rPr>
          <w:rFonts w:hint="eastAsia" w:ascii="FangSong_GB2312" w:hAnsi="仿宋" w:eastAsia="FangSong_GB2312" w:cs="FangSong_GB2312"/>
          <w:color w:val="000000"/>
          <w:kern w:val="0"/>
          <w:sz w:val="32"/>
          <w:szCs w:val="32"/>
        </w:rPr>
        <w:t>“十四五”时期是</w:t>
      </w:r>
      <w:r>
        <w:rPr>
          <w:rFonts w:hint="eastAsia" w:ascii="FangSong_GB2312" w:hAnsi="仿宋" w:eastAsia="FangSong_GB2312" w:cs="Arial"/>
          <w:color w:val="333333"/>
          <w:spacing w:val="5"/>
          <w:sz w:val="32"/>
          <w:szCs w:val="32"/>
          <w:shd w:val="clear" w:color="auto" w:fill="FFFFFF"/>
        </w:rPr>
        <w:t>我国“两个一百年”奋斗目标的历史交汇期，是由全面建成小康社会向基本实现社会主义现代化迈进的关键时期，也是推进绥宁县</w:t>
      </w:r>
      <w:r>
        <w:fldChar w:fldCharType="begin"/>
      </w:r>
      <w:r>
        <w:instrText xml:space="preserve"> HYPERLINK "http://www.china-cer.com.cn/" \t "_blank" </w:instrText>
      </w:r>
      <w:r>
        <w:fldChar w:fldCharType="separate"/>
      </w:r>
      <w:r>
        <w:rPr>
          <w:rStyle w:val="14"/>
          <w:rFonts w:hint="eastAsia" w:ascii="FangSong_GB2312" w:hAnsi="仿宋" w:eastAsia="FangSong_GB2312" w:cs="Arial"/>
          <w:color w:val="000000"/>
          <w:sz w:val="32"/>
          <w:szCs w:val="32"/>
          <w:u w:val="none"/>
          <w:shd w:val="clear" w:color="auto" w:fill="FFFFFF"/>
        </w:rPr>
        <w:t>经济</w:t>
      </w:r>
      <w:r>
        <w:rPr>
          <w:rStyle w:val="14"/>
          <w:rFonts w:hint="eastAsia" w:ascii="FangSong_GB2312" w:hAnsi="仿宋" w:eastAsia="FangSong_GB2312" w:cs="Arial"/>
          <w:color w:val="000000"/>
          <w:sz w:val="32"/>
          <w:szCs w:val="32"/>
          <w:u w:val="none"/>
          <w:shd w:val="clear" w:color="auto" w:fill="FFFFFF"/>
        </w:rPr>
        <w:fldChar w:fldCharType="end"/>
      </w:r>
      <w:r>
        <w:rPr>
          <w:rFonts w:hint="eastAsia" w:ascii="FangSong_GB2312" w:hAnsi="仿宋" w:eastAsia="FangSong_GB2312" w:cs="Arial"/>
          <w:color w:val="000000"/>
          <w:sz w:val="32"/>
          <w:szCs w:val="32"/>
          <w:shd w:val="clear" w:color="auto" w:fill="FFFFFF"/>
        </w:rPr>
        <w:t>高质量发展</w:t>
      </w:r>
      <w:r>
        <w:rPr>
          <w:rFonts w:hint="eastAsia" w:ascii="FangSong_GB2312" w:hAnsi="仿宋" w:eastAsia="FangSong_GB2312" w:cs="Arial"/>
          <w:color w:val="333333"/>
          <w:spacing w:val="5"/>
          <w:sz w:val="32"/>
          <w:szCs w:val="32"/>
          <w:shd w:val="clear" w:color="auto" w:fill="FFFFFF"/>
        </w:rPr>
        <w:t>的战略机遇期。</w:t>
      </w:r>
      <w:r>
        <w:rPr>
          <w:rFonts w:hint="eastAsia" w:ascii="FangSong_GB2312" w:hAnsi="仿宋" w:eastAsia="FangSong_GB2312" w:cs="宋体"/>
          <w:color w:val="000000"/>
          <w:kern w:val="0"/>
          <w:sz w:val="32"/>
          <w:szCs w:val="32"/>
          <w:shd w:val="clear" w:color="auto" w:fill="FFFFFF"/>
        </w:rPr>
        <w:t>编制和实施《绥宁县“十四五”财政发展规划》，</w:t>
      </w:r>
      <w:r>
        <w:rPr>
          <w:rFonts w:hint="eastAsia" w:ascii="FangSong_GB2312" w:hAnsi="仿宋" w:cs="宋体"/>
          <w:color w:val="000000"/>
          <w:kern w:val="0"/>
          <w:sz w:val="32"/>
          <w:szCs w:val="32"/>
          <w:shd w:val="clear" w:color="auto" w:fill="FFFFFF"/>
        </w:rPr>
        <w:t>提出发展思路，设定发展目标，突出</w:t>
      </w:r>
      <w:r>
        <w:rPr>
          <w:rFonts w:hint="eastAsia" w:ascii="FangSong_GB2312" w:hAnsi="仿宋" w:eastAsia="FangSong_GB2312"/>
          <w:color w:val="333333"/>
          <w:sz w:val="32"/>
          <w:szCs w:val="32"/>
          <w:shd w:val="clear" w:color="auto" w:fill="FFFFFF"/>
        </w:rPr>
        <w:t>开源节流,优化支出结构,集中财力保基本,深化财政改革,落实绩效管理,为全县经济社会稳中向好发展提供有力支撑。</w:t>
      </w:r>
    </w:p>
    <w:p>
      <w:pPr>
        <w:widowControl/>
        <w:shd w:val="clear" w:color="auto" w:fill="FFFFFF"/>
        <w:adjustRightInd w:val="0"/>
        <w:snapToGrid w:val="0"/>
        <w:spacing w:line="600" w:lineRule="exact"/>
        <w:ind w:firstLine="640" w:firstLineChars="200"/>
        <w:rPr>
          <w:rFonts w:ascii="FangSong_GB2312" w:hAnsi="仿宋" w:eastAsia="FangSong_GB2312" w:cs="宋体"/>
          <w:color w:val="333333"/>
          <w:kern w:val="0"/>
          <w:sz w:val="32"/>
          <w:szCs w:val="32"/>
        </w:rPr>
      </w:pPr>
      <w:r>
        <w:rPr>
          <w:rFonts w:hint="eastAsia" w:ascii="FangSong_GB2312" w:hAnsi="仿宋" w:eastAsia="FangSong_GB2312" w:cs="宋体"/>
          <w:color w:val="000000"/>
          <w:kern w:val="0"/>
          <w:sz w:val="32"/>
          <w:szCs w:val="32"/>
          <w:shd w:val="clear" w:color="auto" w:fill="FFFFFF"/>
        </w:rPr>
        <w:t>本规划根据《绥宁县国民经济和社会发展第十四个五年规划纲要》和《邵阳市“十四五”财政发展规划》编制。分析了全县财政发展基础与环境，明确了“十四五”时期财政发展的总体要求、发展目标、主要任务和保障措施，是未来五年我县财政发展的指导性文件，是制定我县财政相关政策、行业规划和安排重点项目建设与</w:t>
      </w:r>
      <w:r>
        <w:fldChar w:fldCharType="begin"/>
      </w:r>
      <w:r>
        <w:instrText xml:space="preserve"> HYPERLINK "http://www.askci.com/reports/index199.html" </w:instrText>
      </w:r>
      <w:r>
        <w:fldChar w:fldCharType="separate"/>
      </w:r>
      <w:r>
        <w:rPr>
          <w:rFonts w:hint="eastAsia" w:ascii="FangSong_GB2312" w:hAnsi="仿宋" w:eastAsia="FangSong_GB2312" w:cs="宋体"/>
          <w:color w:val="000000"/>
          <w:kern w:val="0"/>
          <w:sz w:val="32"/>
          <w:szCs w:val="32"/>
        </w:rPr>
        <w:t>投资</w:t>
      </w:r>
      <w:r>
        <w:rPr>
          <w:rFonts w:hint="eastAsia" w:ascii="FangSong_GB2312" w:hAnsi="仿宋" w:eastAsia="FangSong_GB2312" w:cs="宋体"/>
          <w:color w:val="000000"/>
          <w:kern w:val="0"/>
          <w:sz w:val="32"/>
          <w:szCs w:val="32"/>
        </w:rPr>
        <w:fldChar w:fldCharType="end"/>
      </w:r>
      <w:r>
        <w:rPr>
          <w:rFonts w:hint="eastAsia" w:ascii="FangSong_GB2312" w:hAnsi="仿宋" w:eastAsia="FangSong_GB2312" w:cs="宋体"/>
          <w:color w:val="000000"/>
          <w:kern w:val="0"/>
          <w:sz w:val="32"/>
          <w:szCs w:val="32"/>
          <w:shd w:val="clear" w:color="auto" w:fill="FFFFFF"/>
        </w:rPr>
        <w:t>的基本依据。</w:t>
      </w:r>
    </w:p>
    <w:p>
      <w:pPr>
        <w:widowControl/>
        <w:shd w:val="clear" w:color="auto" w:fill="FFFFFF"/>
        <w:adjustRightInd w:val="0"/>
        <w:snapToGrid w:val="0"/>
        <w:spacing w:line="600" w:lineRule="exact"/>
        <w:ind w:firstLine="640" w:firstLineChars="200"/>
        <w:rPr>
          <w:rFonts w:ascii="FangSong_GB2312" w:hAnsi="仿宋" w:eastAsia="FangSong_GB2312" w:cs="FangSong_GB2312"/>
          <w:color w:val="000000"/>
          <w:kern w:val="0"/>
          <w:sz w:val="32"/>
          <w:szCs w:val="32"/>
        </w:rPr>
      </w:pPr>
      <w:r>
        <w:rPr>
          <w:rFonts w:hint="eastAsia" w:ascii="FangSong_GB2312" w:hAnsi="仿宋" w:eastAsia="FangSong_GB2312" w:cs="宋体"/>
          <w:color w:val="000000"/>
          <w:kern w:val="0"/>
          <w:sz w:val="32"/>
          <w:szCs w:val="32"/>
          <w:shd w:val="clear" w:color="auto" w:fill="FFFFFF"/>
        </w:rPr>
        <w:t>本规划的基期为20</w:t>
      </w:r>
      <w:r>
        <w:rPr>
          <w:rFonts w:hint="eastAsia" w:ascii="FangSong_GB2312" w:hAnsi="仿宋" w:cs="宋体"/>
          <w:color w:val="000000"/>
          <w:kern w:val="0"/>
          <w:sz w:val="32"/>
          <w:szCs w:val="32"/>
          <w:shd w:val="clear" w:color="auto" w:fill="FFFFFF"/>
        </w:rPr>
        <w:t>20</w:t>
      </w:r>
      <w:r>
        <w:rPr>
          <w:rFonts w:hint="eastAsia" w:ascii="FangSong_GB2312" w:hAnsi="仿宋" w:eastAsia="FangSong_GB2312" w:cs="宋体"/>
          <w:color w:val="000000"/>
          <w:kern w:val="0"/>
          <w:sz w:val="32"/>
          <w:szCs w:val="32"/>
          <w:shd w:val="clear" w:color="auto" w:fill="FFFFFF"/>
        </w:rPr>
        <w:t>年，规划期为2021</w:t>
      </w:r>
      <w:r>
        <w:rPr>
          <w:rFonts w:hint="eastAsia" w:ascii="FangSong_GB2312" w:hAnsi="仿宋" w:eastAsia="FangSong_GB2312" w:cs="宋体"/>
          <w:color w:val="000000"/>
          <w:kern w:val="0"/>
          <w:sz w:val="32"/>
          <w:szCs w:val="32"/>
        </w:rPr>
        <w:t>-</w:t>
      </w:r>
      <w:r>
        <w:rPr>
          <w:rFonts w:hint="eastAsia" w:ascii="FangSong_GB2312" w:hAnsi="仿宋" w:eastAsia="FangSong_GB2312" w:cs="宋体"/>
          <w:color w:val="000000"/>
          <w:kern w:val="0"/>
          <w:sz w:val="32"/>
          <w:szCs w:val="32"/>
          <w:shd w:val="clear" w:color="auto" w:fill="FFFFFF"/>
        </w:rPr>
        <w:t>2025年。</w:t>
      </w:r>
    </w:p>
    <w:p>
      <w:pPr>
        <w:widowControl/>
        <w:shd w:val="clear" w:color="auto" w:fill="FFFFFF"/>
        <w:adjustRightInd w:val="0"/>
        <w:snapToGrid w:val="0"/>
        <w:spacing w:line="360" w:lineRule="auto"/>
        <w:ind w:firstLine="480"/>
        <w:jc w:val="left"/>
        <w:rPr>
          <w:rFonts w:ascii="FangSong_GB2312" w:hAnsi="仿宋" w:eastAsia="FangSong_GB2312" w:cs="宋体"/>
          <w:color w:val="333333"/>
          <w:kern w:val="0"/>
          <w:sz w:val="32"/>
          <w:szCs w:val="32"/>
        </w:rPr>
      </w:pPr>
    </w:p>
    <w:p>
      <w:pPr>
        <w:widowControl/>
        <w:shd w:val="clear" w:color="auto" w:fill="FFFFFF"/>
        <w:adjustRightInd w:val="0"/>
        <w:snapToGrid w:val="0"/>
        <w:spacing w:line="360" w:lineRule="auto"/>
        <w:jc w:val="center"/>
        <w:rPr>
          <w:rFonts w:ascii="黑体" w:hAnsi="黑体" w:eastAsia="黑体" w:cs="宋体"/>
          <w:b/>
          <w:color w:val="000000" w:themeColor="text1"/>
          <w:kern w:val="0"/>
          <w:sz w:val="36"/>
          <w:szCs w:val="36"/>
          <w14:textFill>
            <w14:solidFill>
              <w14:schemeClr w14:val="tx1"/>
            </w14:solidFill>
          </w14:textFill>
        </w:rPr>
      </w:pPr>
    </w:p>
    <w:p>
      <w:pPr>
        <w:widowControl/>
        <w:shd w:val="clear" w:color="auto" w:fill="FFFFFF"/>
        <w:adjustRightInd w:val="0"/>
        <w:snapToGrid w:val="0"/>
        <w:spacing w:line="360" w:lineRule="auto"/>
        <w:jc w:val="center"/>
        <w:rPr>
          <w:rFonts w:ascii="黑体" w:hAnsi="黑体" w:eastAsia="黑体" w:cs="宋体"/>
          <w:b/>
          <w:color w:val="000000" w:themeColor="text1"/>
          <w:kern w:val="0"/>
          <w:sz w:val="36"/>
          <w:szCs w:val="36"/>
          <w14:textFill>
            <w14:solidFill>
              <w14:schemeClr w14:val="tx1"/>
            </w14:solidFill>
          </w14:textFill>
        </w:rPr>
      </w:pPr>
    </w:p>
    <w:p>
      <w:pPr>
        <w:widowControl/>
        <w:shd w:val="clear" w:color="auto" w:fill="FFFFFF"/>
        <w:adjustRightInd w:val="0"/>
        <w:snapToGrid w:val="0"/>
        <w:spacing w:line="360" w:lineRule="auto"/>
        <w:jc w:val="center"/>
        <w:rPr>
          <w:rFonts w:ascii="黑体" w:hAnsi="黑体" w:eastAsia="黑体" w:cs="宋体"/>
          <w:b/>
          <w:color w:val="000000" w:themeColor="text1"/>
          <w:kern w:val="0"/>
          <w:sz w:val="36"/>
          <w:szCs w:val="36"/>
          <w14:textFill>
            <w14:solidFill>
              <w14:schemeClr w14:val="tx1"/>
            </w14:solidFill>
          </w14:textFill>
        </w:rPr>
      </w:pPr>
    </w:p>
    <w:p>
      <w:pPr>
        <w:widowControl/>
        <w:shd w:val="clear" w:color="auto" w:fill="FFFFFF"/>
        <w:adjustRightInd w:val="0"/>
        <w:snapToGrid w:val="0"/>
        <w:spacing w:line="360" w:lineRule="auto"/>
        <w:jc w:val="center"/>
        <w:rPr>
          <w:rFonts w:ascii="黑体" w:hAnsi="黑体" w:eastAsia="黑体" w:cs="宋体"/>
          <w:b/>
          <w:color w:val="000000" w:themeColor="text1"/>
          <w:kern w:val="0"/>
          <w:szCs w:val="21"/>
          <w14:textFill>
            <w14:solidFill>
              <w14:schemeClr w14:val="tx1"/>
            </w14:solidFill>
          </w14:textFill>
        </w:rPr>
        <w:sectPr>
          <w:footerReference r:id="rId3" w:type="default"/>
          <w:pgSz w:w="11906" w:h="16838"/>
          <w:pgMar w:top="1440" w:right="1800" w:bottom="1440" w:left="1800" w:header="851" w:footer="992" w:gutter="0"/>
          <w:pgNumType w:start="1"/>
          <w:cols w:space="425" w:num="1"/>
          <w:titlePg/>
          <w:docGrid w:type="lines" w:linePitch="312" w:charSpace="0"/>
        </w:sectPr>
      </w:pPr>
    </w:p>
    <w:p>
      <w:pPr>
        <w:adjustRightInd w:val="0"/>
        <w:snapToGrid w:val="0"/>
        <w:spacing w:line="600" w:lineRule="exact"/>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绥宁县“十四五”财政发展规划</w:t>
      </w:r>
    </w:p>
    <w:p>
      <w:pPr>
        <w:pStyle w:val="19"/>
        <w:numPr>
          <w:ilvl w:val="1"/>
          <w:numId w:val="1"/>
        </w:numPr>
        <w:adjustRightInd w:val="0"/>
        <w:snapToGrid w:val="0"/>
        <w:spacing w:beforeLines="50" w:line="600" w:lineRule="exact"/>
        <w:ind w:firstLineChars="0"/>
        <w:jc w:val="center"/>
        <w:rPr>
          <w:rFonts w:hint="eastAsia" w:ascii="Times New Roman" w:cs="Times New Roman"/>
          <w:b/>
          <w:sz w:val="32"/>
          <w:szCs w:val="32"/>
        </w:rPr>
      </w:pPr>
    </w:p>
    <w:p>
      <w:pPr>
        <w:widowControl/>
        <w:shd w:val="clear" w:color="auto" w:fill="FFFFFF"/>
        <w:adjustRightInd w:val="0"/>
        <w:snapToGrid w:val="0"/>
        <w:spacing w:beforeLines="150" w:line="600" w:lineRule="exact"/>
        <w:jc w:val="center"/>
        <w:rPr>
          <w:rFonts w:ascii="黑体" w:hAnsi="黑体" w:eastAsia="黑体" w:cs="宋体"/>
          <w:color w:val="000000" w:themeColor="text1"/>
          <w:kern w:val="0"/>
          <w:sz w:val="36"/>
          <w:szCs w:val="36"/>
          <w14:textFill>
            <w14:solidFill>
              <w14:schemeClr w14:val="tx1"/>
            </w14:solidFill>
          </w14:textFill>
        </w:rPr>
      </w:pPr>
      <w:r>
        <w:rPr>
          <w:rFonts w:hint="eastAsia" w:ascii="黑体" w:hAnsi="黑体" w:eastAsia="黑体" w:cs="宋体"/>
          <w:color w:val="000000" w:themeColor="text1"/>
          <w:kern w:val="0"/>
          <w:sz w:val="36"/>
          <w:szCs w:val="36"/>
          <w14:textFill>
            <w14:solidFill>
              <w14:schemeClr w14:val="tx1"/>
            </w14:solidFill>
          </w14:textFill>
        </w:rPr>
        <w:t>一、发展基础与环境</w:t>
      </w:r>
    </w:p>
    <w:p>
      <w:pPr>
        <w:widowControl/>
        <w:shd w:val="clear" w:color="auto" w:fill="FFFFFF"/>
        <w:adjustRightInd w:val="0"/>
        <w:snapToGrid w:val="0"/>
        <w:spacing w:beforeLines="50" w:line="600" w:lineRule="exact"/>
        <w:ind w:firstLine="640" w:firstLineChars="200"/>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olor w:val="000000" w:themeColor="text1"/>
          <w:sz w:val="32"/>
          <w:szCs w:val="32"/>
          <w14:textFill>
            <w14:solidFill>
              <w14:schemeClr w14:val="tx1"/>
            </w14:solidFill>
          </w14:textFill>
        </w:rPr>
        <w:t>“十三五”时期，面对错综复杂的国内外环境和艰巨繁重的改革发展稳定任务，绥宁县始终遵循习近平总书记“发展是第一要务”，坚持“生态立县、人才兴县、旅游带动、特色发展”的县域经济发展战略，实现了绥宁县在新常态下持续健康协调发展。2020年，全县地区生产总值100.</w:t>
      </w:r>
      <w:r>
        <w:rPr>
          <w:rFonts w:hint="eastAsia" w:ascii="FangSong_GB2312" w:hAnsi="仿宋"/>
          <w:color w:val="000000" w:themeColor="text1"/>
          <w:sz w:val="32"/>
          <w:szCs w:val="32"/>
          <w14:textFill>
            <w14:solidFill>
              <w14:schemeClr w14:val="tx1"/>
            </w14:solidFill>
          </w14:textFill>
        </w:rPr>
        <w:t>6</w:t>
      </w:r>
      <w:r>
        <w:rPr>
          <w:rFonts w:hint="eastAsia" w:ascii="FangSong_GB2312" w:hAnsi="仿宋" w:eastAsia="FangSong_GB2312"/>
          <w:color w:val="000000" w:themeColor="text1"/>
          <w:sz w:val="32"/>
          <w:szCs w:val="32"/>
          <w14:textFill>
            <w14:solidFill>
              <w14:schemeClr w14:val="tx1"/>
            </w14:solidFill>
          </w14:textFill>
        </w:rPr>
        <w:t>亿元，比2015年增长25亿元，年均增长6.6%；累计完成固定资产投资258.40亿元，年均增长7.8%。全社会消费品零售总额209.11亿元，比2015年增长65.64亿元，年均增长9%；居民收入不断增加，城镇居民人均可支配收入和农民人均纯收入分别达到28552元和12164元，年均分别增长8.8%和10.6%。；三次产业结构比从2015年的23.8:45.0:31.2调整为2020年的21.8:20.6:57.6，二三产业增加2个百分点。</w:t>
      </w:r>
    </w:p>
    <w:p>
      <w:pPr>
        <w:widowControl/>
        <w:shd w:val="clear" w:color="auto" w:fill="FFFFFF"/>
        <w:adjustRightInd w:val="0"/>
        <w:snapToGrid w:val="0"/>
        <w:spacing w:beforeLines="50" w:line="600" w:lineRule="exact"/>
        <w:ind w:firstLine="643" w:firstLineChars="200"/>
        <w:jc w:val="left"/>
        <w:rPr>
          <w:rFonts w:ascii="楷体" w:hAnsi="楷体" w:eastAsia="楷体" w:cs="宋体"/>
          <w:b/>
          <w:color w:val="000000" w:themeColor="text1"/>
          <w:kern w:val="0"/>
          <w:sz w:val="32"/>
          <w:szCs w:val="32"/>
          <w14:textFill>
            <w14:solidFill>
              <w14:schemeClr w14:val="tx1"/>
            </w14:solidFill>
          </w14:textFill>
        </w:rPr>
      </w:pPr>
      <w:r>
        <w:rPr>
          <w:rFonts w:hint="eastAsia" w:ascii="楷体" w:hAnsi="楷体" w:eastAsia="楷体" w:cs="宋体"/>
          <w:b/>
          <w:color w:val="000000" w:themeColor="text1"/>
          <w:kern w:val="0"/>
          <w:sz w:val="32"/>
          <w:szCs w:val="32"/>
          <w14:textFill>
            <w14:solidFill>
              <w14:schemeClr w14:val="tx1"/>
            </w14:solidFill>
          </w14:textFill>
        </w:rPr>
        <w:t>（一）“十三五”财政发展回顾</w:t>
      </w:r>
    </w:p>
    <w:p>
      <w:pPr>
        <w:adjustRightInd w:val="0"/>
        <w:snapToGrid w:val="0"/>
        <w:spacing w:line="600" w:lineRule="exact"/>
        <w:ind w:firstLine="640" w:firstLineChars="200"/>
        <w:rPr>
          <w:rFonts w:ascii="FangSong_GB2312" w:hAnsi="Times New Roman" w:eastAsia="FangSong_GB2312" w:cs="Times New Roman"/>
          <w:color w:val="000000" w:themeColor="text1"/>
          <w:sz w:val="32"/>
          <w:szCs w:val="32"/>
          <w14:textFill>
            <w14:solidFill>
              <w14:schemeClr w14:val="tx1"/>
            </w14:solidFill>
          </w14:textFill>
        </w:rPr>
      </w:pPr>
      <w:r>
        <w:rPr>
          <w:rFonts w:hint="eastAsia" w:ascii="FangSong_GB2312" w:hAnsi="Times New Roman" w:eastAsia="FangSong_GB2312" w:cs="Times New Roman"/>
          <w:color w:val="000000" w:themeColor="text1"/>
          <w:sz w:val="32"/>
          <w:szCs w:val="32"/>
          <w14:textFill>
            <w14:solidFill>
              <w14:schemeClr w14:val="tx1"/>
            </w14:solidFill>
          </w14:textFill>
        </w:rPr>
        <w:t>“十三五”时期，</w:t>
      </w:r>
      <w:r>
        <w:rPr>
          <w:rFonts w:hint="eastAsia" w:ascii="FangSong_GB2312" w:hAnsi="仿宋" w:eastAsia="FangSong_GB2312"/>
          <w:color w:val="000000" w:themeColor="text1"/>
          <w:sz w:val="32"/>
          <w:szCs w:val="32"/>
          <w14:textFill>
            <w14:solidFill>
              <w14:schemeClr w14:val="tx1"/>
            </w14:solidFill>
          </w14:textFill>
        </w:rPr>
        <w:t>绥宁财政</w:t>
      </w:r>
      <w:r>
        <w:rPr>
          <w:rFonts w:hint="eastAsia" w:ascii="FangSong_GB2312" w:hAnsi="Times New Roman" w:eastAsia="FangSong_GB2312" w:cs="Times New Roman"/>
          <w:color w:val="000000" w:themeColor="text1"/>
          <w:sz w:val="32"/>
          <w:szCs w:val="32"/>
          <w14:textFill>
            <w14:solidFill>
              <w14:schemeClr w14:val="tx1"/>
            </w14:solidFill>
          </w14:textFill>
        </w:rPr>
        <w:t>发展呈现稳中有进、进中提质的良好态势，收支规模稳健增长，财源培植成效显著，支出结构持续优化，三大攻</w:t>
      </w:r>
      <w:r>
        <w:rPr>
          <w:rFonts w:hint="eastAsia" w:ascii="FangSong_GB2312" w:hAnsi="宋体" w:eastAsia="FangSong_GB2312" w:cs="宋体"/>
          <w:color w:val="000000" w:themeColor="text1"/>
          <w:sz w:val="32"/>
          <w:szCs w:val="32"/>
          <w14:textFill>
            <w14:solidFill>
              <w14:schemeClr w14:val="tx1"/>
            </w14:solidFill>
          </w14:textFill>
        </w:rPr>
        <w:t>坚阶段胜利，财政改革</w:t>
      </w:r>
      <w:r>
        <w:rPr>
          <w:rFonts w:hint="eastAsia" w:ascii="FangSong_GB2312" w:hAnsi="Times New Roman" w:eastAsia="FangSong_GB2312" w:cs="Times New Roman"/>
          <w:color w:val="000000" w:themeColor="text1"/>
          <w:sz w:val="32"/>
          <w:szCs w:val="32"/>
          <w14:textFill>
            <w14:solidFill>
              <w14:schemeClr w14:val="tx1"/>
            </w14:solidFill>
          </w14:textFill>
        </w:rPr>
        <w:t>不断深化，队伍建设切实加强，财政工作跨入新时代，为</w:t>
      </w:r>
      <w:r>
        <w:rPr>
          <w:rFonts w:hint="eastAsia" w:ascii="FangSong_GB2312" w:hAnsi="仿宋" w:eastAsia="FangSong_GB2312" w:cs="Times New Roman"/>
          <w:color w:val="333333"/>
          <w:kern w:val="0"/>
          <w:sz w:val="32"/>
          <w:szCs w:val="32"/>
        </w:rPr>
        <w:t>县域经济发展</w:t>
      </w:r>
      <w:r>
        <w:rPr>
          <w:rFonts w:hint="eastAsia" w:ascii="FangSong_GB2312" w:hAnsi="Times New Roman" w:eastAsia="FangSong_GB2312" w:cs="Times New Roman"/>
          <w:color w:val="000000" w:themeColor="text1"/>
          <w:sz w:val="32"/>
          <w:szCs w:val="32"/>
          <w14:textFill>
            <w14:solidFill>
              <w14:schemeClr w14:val="tx1"/>
            </w14:solidFill>
          </w14:textFill>
        </w:rPr>
        <w:t>提供了坚强保障。</w:t>
      </w:r>
    </w:p>
    <w:p>
      <w:pPr>
        <w:widowControl/>
        <w:shd w:val="clear" w:color="auto" w:fill="FFFFFF"/>
        <w:adjustRightInd w:val="0"/>
        <w:snapToGrid w:val="0"/>
        <w:spacing w:line="600" w:lineRule="exact"/>
        <w:ind w:firstLine="643" w:firstLineChars="200"/>
        <w:jc w:val="left"/>
        <w:rPr>
          <w:rFonts w:ascii="楷体" w:hAnsi="楷体" w:eastAsia="楷体"/>
          <w:b/>
          <w:sz w:val="32"/>
          <w:szCs w:val="32"/>
        </w:rPr>
      </w:pPr>
      <w:r>
        <w:rPr>
          <w:rFonts w:hint="eastAsia" w:ascii="楷体" w:hAnsi="楷体" w:eastAsia="楷体"/>
          <w:b/>
          <w:sz w:val="32"/>
          <w:szCs w:val="32"/>
        </w:rPr>
        <w:t>1、收支规模稳健增长，财政实力不断增强</w:t>
      </w:r>
    </w:p>
    <w:p>
      <w:pPr>
        <w:widowControl/>
        <w:shd w:val="clear" w:color="auto" w:fill="FFFFFF"/>
        <w:adjustRightInd w:val="0"/>
        <w:snapToGrid w:val="0"/>
        <w:spacing w:line="600" w:lineRule="exact"/>
        <w:ind w:firstLine="640" w:firstLineChars="200"/>
        <w:rPr>
          <w:rFonts w:ascii="FangSong_GB2312" w:hAnsi="仿宋" w:eastAsia="FangSong_GB2312"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w:t>
      </w:r>
      <w:r>
        <w:rPr>
          <w:rFonts w:hint="eastAsia" w:ascii="FangSong_GB2312" w:hAnsi="仿宋" w:eastAsia="FangSong_GB2312" w:cs="Times New Roman"/>
          <w:b/>
          <w:color w:val="000000" w:themeColor="text1"/>
          <w:kern w:val="0"/>
          <w:sz w:val="32"/>
          <w:szCs w:val="32"/>
          <w14:textFill>
            <w14:solidFill>
              <w14:schemeClr w14:val="tx1"/>
            </w14:solidFill>
          </w14:textFill>
        </w:rPr>
        <w:t>——</w:t>
      </w:r>
      <w:r>
        <w:rPr>
          <w:rFonts w:hint="eastAsia" w:ascii="FangSong_GB2312" w:hAnsi="仿宋" w:eastAsia="FangSong_GB2312" w:cs="宋体"/>
          <w:b/>
          <w:color w:val="000000" w:themeColor="text1"/>
          <w:kern w:val="0"/>
          <w:sz w:val="32"/>
          <w:szCs w:val="32"/>
          <w14:textFill>
            <w14:solidFill>
              <w14:schemeClr w14:val="tx1"/>
            </w14:solidFill>
          </w14:textFill>
        </w:rPr>
        <w:t>财政收入</w:t>
      </w:r>
      <w:r>
        <w:rPr>
          <w:rFonts w:hint="eastAsia" w:ascii="FangSong_GB2312" w:hAnsi="仿宋" w:eastAsia="FangSong_GB2312"/>
          <w:b/>
          <w:sz w:val="32"/>
          <w:szCs w:val="32"/>
        </w:rPr>
        <w:t>稳健增长。</w:t>
      </w:r>
      <w:r>
        <w:rPr>
          <w:rFonts w:hint="eastAsia" w:ascii="FangSong_GB2312" w:hAnsi="仿宋" w:eastAsia="FangSong_GB2312" w:cs="宋体"/>
          <w:color w:val="000000" w:themeColor="text1"/>
          <w:kern w:val="0"/>
          <w:sz w:val="32"/>
          <w:szCs w:val="32"/>
          <w14:textFill>
            <w14:solidFill>
              <w14:schemeClr w14:val="tx1"/>
            </w14:solidFill>
          </w14:textFill>
        </w:rPr>
        <w:t>“十三五”期间，绥宁县坚决落实中央“六稳”方针，</w:t>
      </w:r>
      <w:r>
        <w:rPr>
          <w:rFonts w:hint="eastAsia" w:ascii="FangSong_GB2312" w:hAnsi="仿宋" w:eastAsia="FangSong_GB2312" w:cs="FangSong_GB2312"/>
          <w:sz w:val="32"/>
          <w:szCs w:val="32"/>
          <w:shd w:val="clear" w:color="auto" w:fill="FFFFFF"/>
        </w:rPr>
        <w:t>财政主动作为</w:t>
      </w:r>
      <w:r>
        <w:rPr>
          <w:rFonts w:hint="eastAsia" w:ascii="FangSong_GB2312" w:hAnsi="仿宋" w:eastAsia="FangSong_GB2312" w:cs="宋体"/>
          <w:color w:val="000000" w:themeColor="text1"/>
          <w:kern w:val="0"/>
          <w:sz w:val="32"/>
          <w:szCs w:val="32"/>
          <w14:textFill>
            <w14:solidFill>
              <w14:schemeClr w14:val="tx1"/>
            </w14:solidFill>
          </w14:textFill>
        </w:rPr>
        <w:t>，多措并举推动财政工作行稳向好。2020年，全县</w:t>
      </w:r>
      <w:r>
        <w:rPr>
          <w:rFonts w:hint="eastAsia" w:ascii="FangSong_GB2312" w:hAnsi="仿宋" w:eastAsia="FangSong_GB2312" w:cs="宋体"/>
          <w:color w:val="000000" w:themeColor="text1"/>
          <w:kern w:val="0"/>
          <w:sz w:val="32"/>
          <w:szCs w:val="32"/>
          <w:lang w:eastAsia="zh-CN"/>
          <w14:textFill>
            <w14:solidFill>
              <w14:schemeClr w14:val="tx1"/>
            </w14:solidFill>
          </w14:textFill>
        </w:rPr>
        <w:t>一般公共</w:t>
      </w:r>
      <w:r>
        <w:rPr>
          <w:rFonts w:hint="eastAsia" w:ascii="FangSong_GB2312" w:hAnsi="仿宋" w:eastAsia="FangSong_GB2312" w:cs="宋体"/>
          <w:color w:val="000000" w:themeColor="text1"/>
          <w:kern w:val="0"/>
          <w:sz w:val="32"/>
          <w:szCs w:val="32"/>
          <w14:textFill>
            <w14:solidFill>
              <w14:schemeClr w14:val="tx1"/>
            </w14:solidFill>
          </w14:textFill>
        </w:rPr>
        <w:t>预算收入2.82元，年均增长2.46%；地方一般预算收入在同比上年减少税费2478万元的背景下，仍实现收入1.79亿元；五年期间累计争取上级补助收入110.45亿元</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s="宋体"/>
          <w:color w:val="000000" w:themeColor="text1"/>
          <w:kern w:val="0"/>
          <w:sz w:val="32"/>
          <w:szCs w:val="32"/>
          <w14:textFill>
            <w14:solidFill>
              <w14:schemeClr w14:val="tx1"/>
            </w14:solidFill>
          </w14:textFill>
        </w:rPr>
        <w:t>保持了县级财政总收入</w:t>
      </w:r>
      <w:r>
        <w:rPr>
          <w:rFonts w:hint="eastAsia" w:ascii="FangSong_GB2312" w:hAnsi="仿宋" w:eastAsia="FangSong_GB2312"/>
          <w:color w:val="000000" w:themeColor="text1"/>
          <w:sz w:val="32"/>
          <w:szCs w:val="32"/>
          <w14:textFill>
            <w14:solidFill>
              <w14:schemeClr w14:val="tx1"/>
            </w14:solidFill>
          </w14:textFill>
        </w:rPr>
        <w:t>的低速增长。</w:t>
      </w:r>
    </w:p>
    <w:p>
      <w:pPr>
        <w:widowControl/>
        <w:shd w:val="clear" w:color="auto" w:fill="FFFFFF"/>
        <w:adjustRightInd w:val="0"/>
        <w:snapToGrid w:val="0"/>
        <w:spacing w:line="600" w:lineRule="exact"/>
        <w:ind w:firstLine="643" w:firstLineChars="200"/>
        <w:rPr>
          <w:rFonts w:ascii="FangSong_GB2312" w:hAnsi="仿宋" w:eastAsia="FangSong_GB2312"/>
          <w:b/>
          <w:sz w:val="32"/>
          <w:szCs w:val="32"/>
        </w:rPr>
      </w:pPr>
      <w:r>
        <w:rPr>
          <w:rFonts w:hint="eastAsia" w:ascii="FangSong_GB2312" w:hAnsi="仿宋" w:eastAsia="FangSong_GB2312" w:cs="Times New Roman"/>
          <w:b/>
          <w:color w:val="000000" w:themeColor="text1"/>
          <w:kern w:val="0"/>
          <w:sz w:val="32"/>
          <w:szCs w:val="32"/>
          <w14:textFill>
            <w14:solidFill>
              <w14:schemeClr w14:val="tx1"/>
            </w14:solidFill>
          </w14:textFill>
        </w:rPr>
        <w:t>——</w:t>
      </w:r>
      <w:r>
        <w:rPr>
          <w:rFonts w:hint="eastAsia" w:ascii="FangSong_GB2312" w:hAnsi="仿宋" w:eastAsia="FangSong_GB2312" w:cs="宋体"/>
          <w:b/>
          <w:color w:val="000000" w:themeColor="text1"/>
          <w:kern w:val="0"/>
          <w:sz w:val="32"/>
          <w:szCs w:val="32"/>
          <w14:textFill>
            <w14:solidFill>
              <w14:schemeClr w14:val="tx1"/>
            </w14:solidFill>
          </w14:textFill>
        </w:rPr>
        <w:t>财政支出规模逐年</w:t>
      </w:r>
      <w:r>
        <w:rPr>
          <w:rFonts w:hint="eastAsia" w:ascii="FangSong_GB2312" w:hAnsi="仿宋" w:eastAsia="FangSong_GB2312"/>
          <w:b/>
          <w:bCs/>
          <w:color w:val="000000" w:themeColor="text1"/>
          <w:sz w:val="32"/>
          <w:szCs w:val="32"/>
          <w14:textFill>
            <w14:solidFill>
              <w14:schemeClr w14:val="tx1"/>
            </w14:solidFill>
          </w14:textFill>
        </w:rPr>
        <w:t>扩大</w:t>
      </w:r>
      <w:r>
        <w:rPr>
          <w:rFonts w:hint="eastAsia" w:ascii="FangSong_GB2312" w:hAnsi="仿宋" w:eastAsia="FangSong_GB2312"/>
          <w:b/>
          <w:sz w:val="32"/>
          <w:szCs w:val="32"/>
        </w:rPr>
        <w:t>。</w:t>
      </w:r>
      <w:r>
        <w:rPr>
          <w:rFonts w:hint="eastAsia" w:ascii="FangSong_GB2312" w:hAnsi="仿宋" w:eastAsia="FangSong_GB2312" w:cs="宋体"/>
          <w:color w:val="000000" w:themeColor="text1"/>
          <w:kern w:val="0"/>
          <w:sz w:val="32"/>
          <w:szCs w:val="32"/>
          <w14:textFill>
            <w14:solidFill>
              <w14:schemeClr w14:val="tx1"/>
            </w14:solidFill>
          </w14:textFill>
        </w:rPr>
        <w:t>“十三五”期间，随着财政实力的增强和争资立项的成效显现，全县公共预算支出总量由2015年的26.55亿元增长至2020年的32.81亿元，年均增长3.47%。</w:t>
      </w:r>
    </w:p>
    <w:p>
      <w:pPr>
        <w:widowControl/>
        <w:shd w:val="clear" w:color="auto" w:fill="FFFFFF"/>
        <w:adjustRightInd w:val="0"/>
        <w:snapToGrid w:val="0"/>
        <w:spacing w:line="600" w:lineRule="exact"/>
        <w:ind w:firstLine="640" w:firstLineChars="200"/>
        <w:jc w:val="left"/>
        <w:rPr>
          <w:rFonts w:ascii="仿宋" w:hAnsi="仿宋" w:eastAsia="仿宋" w:cs="宋体"/>
          <w:color w:val="000000" w:themeColor="text1"/>
          <w:kern w:val="0"/>
          <w:sz w:val="30"/>
          <w:szCs w:val="30"/>
          <w14:textFill>
            <w14:solidFill>
              <w14:schemeClr w14:val="tx1"/>
            </w14:solidFill>
          </w14:textFill>
        </w:rPr>
      </w:pPr>
      <w:r>
        <w:rPr>
          <w:rFonts w:hint="eastAsia" w:ascii="FangSong_GB2312" w:hAnsi="仿宋" w:eastAsia="FangSong_GB2312" w:cs="宋体"/>
          <w:color w:val="000000" w:themeColor="text1"/>
          <w:kern w:val="0"/>
          <w:sz w:val="32"/>
          <w:szCs w:val="32"/>
          <w14:textFill>
            <w14:solidFill>
              <w14:schemeClr w14:val="tx1"/>
            </w14:solidFill>
          </w14:textFill>
        </w:rPr>
        <w:t>绥宁县“</w:t>
      </w:r>
      <w:r>
        <w:rPr>
          <w:rFonts w:hint="eastAsia" w:ascii="FangSong_GB2312" w:hAnsi="仿宋" w:eastAsia="FangSong_GB2312" w:cs="宋体"/>
          <w:color w:val="333333"/>
          <w:kern w:val="0"/>
          <w:sz w:val="32"/>
          <w:szCs w:val="32"/>
        </w:rPr>
        <w:t>十三五”期间财政收支情况见表1：</w:t>
      </w:r>
      <w:r>
        <w:rPr>
          <w:rFonts w:ascii="仿宋" w:hAnsi="仿宋" w:eastAsia="仿宋" w:cs="宋体"/>
          <w:color w:val="000000" w:themeColor="text1"/>
          <w:kern w:val="0"/>
          <w:sz w:val="30"/>
          <w:szCs w:val="30"/>
          <w14:textFill>
            <w14:solidFill>
              <w14:schemeClr w14:val="tx1"/>
            </w14:solidFill>
          </w14:textFill>
        </w:rPr>
        <w:t xml:space="preserve"> </w:t>
      </w:r>
    </w:p>
    <w:p>
      <w:pPr>
        <w:widowControl/>
        <w:shd w:val="clear" w:color="auto" w:fill="FFFFFF"/>
        <w:adjustRightInd w:val="0"/>
        <w:snapToGrid w:val="0"/>
        <w:spacing w:line="620" w:lineRule="exact"/>
        <w:jc w:val="right"/>
        <w:rPr>
          <w:rFonts w:ascii="仿宋" w:hAnsi="仿宋" w:eastAsia="仿宋" w:cs="宋体"/>
          <w:color w:val="333333"/>
          <w:kern w:val="0"/>
          <w:sz w:val="30"/>
          <w:szCs w:val="30"/>
        </w:rPr>
      </w:pPr>
      <w:r>
        <w:rPr>
          <w:rFonts w:hint="eastAsia" w:ascii="黑体" w:hAnsi="黑体" w:eastAsia="黑体" w:cs="宋体"/>
          <w:color w:val="333333"/>
          <w:kern w:val="0"/>
          <w:sz w:val="28"/>
          <w:szCs w:val="28"/>
        </w:rPr>
        <w:t>表</w:t>
      </w:r>
      <w:r>
        <w:rPr>
          <w:rFonts w:ascii="Times New Roman" w:hAnsi="Times New Roman" w:eastAsia="黑体" w:cs="Times New Roman"/>
          <w:color w:val="333333"/>
          <w:kern w:val="0"/>
          <w:sz w:val="28"/>
          <w:szCs w:val="28"/>
        </w:rPr>
        <w:t>1</w:t>
      </w:r>
      <w:r>
        <w:rPr>
          <w:rFonts w:hint="eastAsia" w:ascii="黑体" w:hAnsi="黑体" w:eastAsia="黑体" w:cs="宋体"/>
          <w:color w:val="333333"/>
          <w:kern w:val="0"/>
          <w:sz w:val="28"/>
          <w:szCs w:val="28"/>
        </w:rPr>
        <w:t>：绥宁县“十三五”期间财政收支情况</w:t>
      </w:r>
      <w:r>
        <w:rPr>
          <w:rFonts w:hint="eastAsia" w:ascii="仿宋" w:hAnsi="仿宋" w:eastAsia="仿宋" w:cs="宋体"/>
          <w:color w:val="333333"/>
          <w:kern w:val="0"/>
          <w:sz w:val="28"/>
          <w:szCs w:val="28"/>
        </w:rPr>
        <w:t xml:space="preserve">   </w:t>
      </w:r>
      <w:r>
        <w:rPr>
          <w:rFonts w:hint="eastAsia" w:ascii="FangSong_GB2312" w:hAnsi="仿宋" w:eastAsia="FangSong_GB2312" w:cs="宋体"/>
          <w:color w:val="333333"/>
          <w:kern w:val="0"/>
          <w:sz w:val="24"/>
          <w:szCs w:val="24"/>
        </w:rPr>
        <w:t>单位：万元</w:t>
      </w:r>
    </w:p>
    <w:tbl>
      <w:tblPr>
        <w:tblStyle w:val="16"/>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1134"/>
        <w:gridCol w:w="1134"/>
        <w:gridCol w:w="992"/>
        <w:gridCol w:w="992"/>
        <w:gridCol w:w="1134"/>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280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指 标</w:t>
            </w:r>
          </w:p>
        </w:tc>
        <w:tc>
          <w:tcPr>
            <w:tcW w:w="1134"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2016年</w:t>
            </w:r>
          </w:p>
        </w:tc>
        <w:tc>
          <w:tcPr>
            <w:tcW w:w="1134"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2017年</w:t>
            </w:r>
          </w:p>
        </w:tc>
        <w:tc>
          <w:tcPr>
            <w:tcW w:w="99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2018年</w:t>
            </w:r>
          </w:p>
        </w:tc>
        <w:tc>
          <w:tcPr>
            <w:tcW w:w="99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2019年</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2020年</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年均增长率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2" w:hRule="atLeast"/>
        </w:trPr>
        <w:tc>
          <w:tcPr>
            <w:tcW w:w="280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lang w:eastAsia="zh-CN"/>
                <w14:textFill>
                  <w14:solidFill>
                    <w14:schemeClr w14:val="tx1"/>
                  </w14:solidFill>
                </w14:textFill>
              </w:rPr>
              <w:t>财政总收入</w:t>
            </w:r>
            <w:r>
              <w:rPr>
                <w:rFonts w:hint="eastAsia" w:ascii="FangSong_GB2312" w:hAnsi="仿宋" w:eastAsia="FangSong_GB2312" w:cs="宋体"/>
                <w:color w:val="000000" w:themeColor="text1"/>
                <w:kern w:val="0"/>
                <w:sz w:val="24"/>
                <w:szCs w:val="24"/>
                <w14:textFill>
                  <w14:solidFill>
                    <w14:schemeClr w14:val="tx1"/>
                  </w14:solidFill>
                </w14:textFill>
              </w:rPr>
              <w:t>（万元）</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49344</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54555</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50156</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51132</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28239</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280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lang w:eastAsia="zh-CN"/>
                <w14:textFill>
                  <w14:solidFill>
                    <w14:schemeClr w14:val="tx1"/>
                  </w14:solidFill>
                </w14:textFill>
              </w:rPr>
              <w:t>地方</w:t>
            </w:r>
            <w:r>
              <w:rPr>
                <w:rFonts w:hint="eastAsia" w:ascii="FangSong_GB2312" w:hAnsi="仿宋" w:eastAsia="FangSong_GB2312" w:cs="宋体"/>
                <w:color w:val="000000" w:themeColor="text1"/>
                <w:kern w:val="0"/>
                <w:sz w:val="24"/>
                <w:szCs w:val="24"/>
                <w14:textFill>
                  <w14:solidFill>
                    <w14:schemeClr w14:val="tx1"/>
                  </w14:solidFill>
                </w14:textFill>
              </w:rPr>
              <w:t>一般预算收入（万元）</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36288</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35994</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31685</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33390</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17869</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-0.86%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2" w:hRule="atLeast"/>
        </w:trPr>
        <w:tc>
          <w:tcPr>
            <w:tcW w:w="2802" w:type="dxa"/>
            <w:vAlign w:val="center"/>
          </w:tcPr>
          <w:p>
            <w:pPr>
              <w:widowControl/>
              <w:adjustRightInd w:val="0"/>
              <w:snapToGrid w:val="0"/>
              <w:jc w:val="right"/>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其中：税收收入</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14445</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15607</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19069</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20078</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12542</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11.98%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2802" w:type="dxa"/>
            <w:vAlign w:val="center"/>
          </w:tcPr>
          <w:p>
            <w:pPr>
              <w:widowControl/>
              <w:adjustRightInd w:val="0"/>
              <w:snapToGrid w:val="0"/>
              <w:jc w:val="right"/>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非税收入</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21843</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20387</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12616</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13312</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5327</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-13.1%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2" w:hRule="atLeast"/>
        </w:trPr>
        <w:tc>
          <w:tcPr>
            <w:tcW w:w="280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上级补助收入</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205879</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217727</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233327</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204833</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242736</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2" w:hRule="atLeast"/>
        </w:trPr>
        <w:tc>
          <w:tcPr>
            <w:tcW w:w="2802" w:type="dxa"/>
            <w:vAlign w:val="center"/>
          </w:tcPr>
          <w:p>
            <w:pPr>
              <w:widowControl/>
              <w:adjustRightInd w:val="0"/>
              <w:snapToGrid w:val="0"/>
              <w:jc w:val="center"/>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公共预算支出（万元）</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248397</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272350</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292530</w:t>
            </w:r>
          </w:p>
        </w:tc>
        <w:tc>
          <w:tcPr>
            <w:tcW w:w="992" w:type="dxa"/>
            <w:vAlign w:val="center"/>
          </w:tcPr>
          <w:p>
            <w:pPr>
              <w:widowControl/>
              <w:adjustRightInd w:val="0"/>
              <w:snapToGrid w:val="0"/>
              <w:jc w:val="right"/>
              <w:rPr>
                <w:rFonts w:ascii="FangSong_GB2312" w:hAnsi="Times New Roman" w:eastAsia="FangSong_GB2312" w:cs="Times New Roman"/>
                <w:color w:val="FF0000"/>
                <w:kern w:val="0"/>
                <w:sz w:val="24"/>
                <w:szCs w:val="24"/>
              </w:rPr>
            </w:pPr>
            <w:r>
              <w:rPr>
                <w:rFonts w:hint="eastAsia" w:ascii="FangSong_GB2312" w:hAnsi="Times New Roman" w:eastAsia="FangSong_GB2312" w:cs="Times New Roman"/>
                <w:sz w:val="24"/>
                <w:szCs w:val="24"/>
              </w:rPr>
              <w:t>304269</w:t>
            </w:r>
          </w:p>
        </w:tc>
        <w:tc>
          <w:tcPr>
            <w:tcW w:w="1134"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328120</w:t>
            </w:r>
          </w:p>
        </w:tc>
        <w:tc>
          <w:tcPr>
            <w:tcW w:w="992" w:type="dxa"/>
            <w:vAlign w:val="center"/>
          </w:tcPr>
          <w:p>
            <w:pPr>
              <w:widowControl/>
              <w:adjustRightInd w:val="0"/>
              <w:snapToGrid w:val="0"/>
              <w:jc w:val="center"/>
              <w:rPr>
                <w:rFonts w:ascii="FangSong_GB2312" w:hAnsi="Times New Roman" w:eastAsia="FangSong_GB2312" w:cs="Times New Roman"/>
                <w:color w:val="000000" w:themeColor="text1"/>
                <w:kern w:val="0"/>
                <w:sz w:val="24"/>
                <w:szCs w:val="24"/>
                <w14:textFill>
                  <w14:solidFill>
                    <w14:schemeClr w14:val="tx1"/>
                  </w14:solidFill>
                </w14:textFill>
              </w:rPr>
            </w:pPr>
            <w:r>
              <w:rPr>
                <w:rFonts w:hint="eastAsia" w:ascii="FangSong_GB2312" w:hAnsi="Times New Roman" w:eastAsia="FangSong_GB2312" w:cs="Times New Roman"/>
                <w:color w:val="000000" w:themeColor="text1"/>
                <w:kern w:val="0"/>
                <w:sz w:val="24"/>
                <w:szCs w:val="24"/>
                <w14:textFill>
                  <w14:solidFill>
                    <w14:schemeClr w14:val="tx1"/>
                  </w14:solidFill>
                </w14:textFill>
              </w:rPr>
              <w:t>3.47%</w:t>
            </w:r>
          </w:p>
        </w:tc>
      </w:tr>
    </w:tbl>
    <w:p>
      <w:pPr>
        <w:widowControl/>
        <w:shd w:val="clear" w:color="auto" w:fill="FFFFFF"/>
        <w:adjustRightInd w:val="0"/>
        <w:snapToGrid w:val="0"/>
        <w:spacing w:beforeLines="100" w:line="600" w:lineRule="exact"/>
        <w:ind w:firstLine="630" w:firstLineChars="196"/>
        <w:outlineLvl w:val="0"/>
        <w:rPr>
          <w:rFonts w:hint="eastAsia" w:ascii="楷体" w:hAnsi="楷体" w:eastAsia="楷体"/>
          <w:b/>
          <w:sz w:val="32"/>
          <w:szCs w:val="32"/>
        </w:rPr>
      </w:pPr>
    </w:p>
    <w:p>
      <w:pPr>
        <w:widowControl/>
        <w:shd w:val="clear" w:color="auto" w:fill="FFFFFF"/>
        <w:adjustRightInd w:val="0"/>
        <w:snapToGrid w:val="0"/>
        <w:spacing w:beforeLines="100" w:line="600" w:lineRule="exact"/>
        <w:ind w:firstLine="630" w:firstLineChars="196"/>
        <w:outlineLvl w:val="0"/>
        <w:rPr>
          <w:rFonts w:ascii="楷体" w:hAnsi="楷体" w:eastAsia="楷体"/>
          <w:b/>
          <w:sz w:val="32"/>
          <w:szCs w:val="32"/>
        </w:rPr>
      </w:pPr>
      <w:r>
        <w:rPr>
          <w:rFonts w:hint="eastAsia" w:ascii="楷体" w:hAnsi="楷体" w:eastAsia="楷体"/>
          <w:b/>
          <w:sz w:val="32"/>
          <w:szCs w:val="32"/>
        </w:rPr>
        <w:t>2、财源培植成效显著，服务发展力度加大</w:t>
      </w:r>
    </w:p>
    <w:p>
      <w:pPr>
        <w:widowControl/>
        <w:shd w:val="clear" w:color="auto" w:fill="FFFFFF"/>
        <w:adjustRightInd w:val="0"/>
        <w:snapToGrid w:val="0"/>
        <w:spacing w:line="600" w:lineRule="exact"/>
        <w:ind w:firstLine="643" w:firstLineChars="200"/>
        <w:rPr>
          <w:rFonts w:ascii="FangSong_GB2312" w:hAnsi="仿宋" w:eastAsia="FangSong_GB2312" w:cs="宋体"/>
          <w:color w:val="FF0000"/>
          <w:kern w:val="0"/>
          <w:sz w:val="32"/>
          <w:szCs w:val="32"/>
        </w:rPr>
      </w:pPr>
      <w:r>
        <w:rPr>
          <w:rFonts w:hint="eastAsia" w:ascii="FangSong_GB2312" w:hAnsi="仿宋" w:eastAsia="FangSong_GB2312" w:cs="Times New Roman"/>
          <w:b/>
          <w:color w:val="000000" w:themeColor="text1"/>
          <w:kern w:val="0"/>
          <w:sz w:val="32"/>
          <w:szCs w:val="32"/>
          <w14:textFill>
            <w14:solidFill>
              <w14:schemeClr w14:val="tx1"/>
            </w14:solidFill>
          </w14:textFill>
        </w:rPr>
        <w:t>——培植财源促</w:t>
      </w:r>
      <w:r>
        <w:rPr>
          <w:rFonts w:hint="eastAsia" w:ascii="FangSong_GB2312" w:hAnsi="仿宋" w:eastAsia="FangSong_GB2312"/>
          <w:b/>
          <w:sz w:val="32"/>
          <w:szCs w:val="32"/>
        </w:rPr>
        <w:t>增长。</w:t>
      </w:r>
      <w:r>
        <w:rPr>
          <w:rFonts w:hint="eastAsia" w:ascii="FangSong_GB2312" w:hAnsi="仿宋" w:eastAsia="FangSong_GB2312" w:cs="宋体"/>
          <w:color w:val="000000" w:themeColor="text1"/>
          <w:kern w:val="0"/>
          <w:sz w:val="32"/>
          <w:szCs w:val="32"/>
          <w14:textFill>
            <w14:solidFill>
              <w14:schemeClr w14:val="tx1"/>
            </w14:solidFill>
          </w14:textFill>
        </w:rPr>
        <w:t>“十三五”期间，我县坚持</w:t>
      </w:r>
      <w:r>
        <w:rPr>
          <w:rFonts w:hint="eastAsia" w:ascii="FangSong_GB2312" w:hAnsi="仿宋" w:eastAsia="FangSong_GB2312"/>
          <w:color w:val="212121"/>
          <w:sz w:val="32"/>
          <w:szCs w:val="32"/>
          <w:shd w:val="clear" w:color="auto" w:fill="FFFFFF"/>
        </w:rPr>
        <w:t>厚植区域发展优势，生产要素向</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“一区两园”集聚</w:t>
      </w:r>
      <w:r>
        <w:rPr>
          <w:rFonts w:hint="eastAsia" w:ascii="FangSong_GB2312" w:hAnsi="仿宋" w:eastAsia="FangSong_GB2312"/>
          <w:color w:val="000000" w:themeColor="text1"/>
          <w:spacing w:val="12"/>
          <w:sz w:val="32"/>
          <w:szCs w:val="32"/>
          <w14:textFill>
            <w14:solidFill>
              <w14:schemeClr w14:val="tx1"/>
            </w14:solidFill>
          </w14:textFill>
        </w:rPr>
        <w:t>,</w:t>
      </w:r>
      <w:r>
        <w:rPr>
          <w:rFonts w:hint="eastAsia" w:ascii="FangSong_GB2312" w:hAnsi="仿宋" w:eastAsia="FangSong_GB2312" w:cs="Arial"/>
          <w:color w:val="333333"/>
          <w:sz w:val="32"/>
          <w:szCs w:val="32"/>
          <w:shd w:val="clear" w:color="auto" w:fill="FFFFFF"/>
        </w:rPr>
        <w:t xml:space="preserve"> 聚集“新动力”</w:t>
      </w:r>
      <w:r>
        <w:rPr>
          <w:rFonts w:hint="eastAsia" w:ascii="FangSong_GB2312" w:hAnsi="仿宋" w:eastAsia="FangSong_GB2312"/>
          <w:color w:val="000000" w:themeColor="text1"/>
          <w:spacing w:val="12"/>
          <w:sz w:val="32"/>
          <w:szCs w:val="32"/>
          <w14:textFill>
            <w14:solidFill>
              <w14:schemeClr w14:val="tx1"/>
            </w14:solidFill>
          </w14:textFill>
        </w:rPr>
        <w:t>涵养税源，传统产业向精深加工延伸，</w:t>
      </w:r>
      <w:r>
        <w:rPr>
          <w:rFonts w:hint="eastAsia" w:ascii="FangSong_GB2312" w:hAnsi="仿宋" w:eastAsia="FangSong_GB2312" w:cs="Arial"/>
          <w:color w:val="333333"/>
          <w:sz w:val="32"/>
          <w:szCs w:val="32"/>
          <w:shd w:val="clear" w:color="auto" w:fill="FFFFFF"/>
        </w:rPr>
        <w:t>深化转型升级、</w:t>
      </w:r>
      <w:r>
        <w:rPr>
          <w:rFonts w:hint="eastAsia" w:ascii="FangSong_GB2312" w:hAnsi="仿宋" w:eastAsia="FangSong_GB2312"/>
          <w:color w:val="000000" w:themeColor="text1"/>
          <w:spacing w:val="12"/>
          <w:sz w:val="32"/>
          <w:szCs w:val="32"/>
          <w14:textFill>
            <w14:solidFill>
              <w14:schemeClr w14:val="tx1"/>
            </w14:solidFill>
          </w14:textFill>
        </w:rPr>
        <w:t>挖潜增</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收，税收收入跑出了“加速度”。2020年，全县入库税收1.25亿元，比2015增加0.74亿元，年均增长11.98%。分别高出同期全县GDP和财政收入增幅5.89个和9.52个百分点；税收收入占比达到</w:t>
      </w:r>
      <w:r>
        <w:rPr>
          <w:rFonts w:hint="eastAsia" w:ascii="FangSong_GB2312" w:hAnsi="仿宋" w:eastAsia="FangSong_GB2312" w:cs="Arial"/>
          <w:color w:val="000000" w:themeColor="text1"/>
          <w:sz w:val="32"/>
          <w:szCs w:val="32"/>
          <w:shd w:val="clear" w:color="auto" w:fill="FFFFFF"/>
          <w:lang w:val="en-US" w:eastAsia="zh-CN"/>
          <w14:textFill>
            <w14:solidFill>
              <w14:schemeClr w14:val="tx1"/>
            </w14:solidFill>
          </w14:textFill>
        </w:rPr>
        <w:t>70.18</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%，五年间增长</w:t>
      </w:r>
      <w:r>
        <w:rPr>
          <w:rFonts w:hint="eastAsia" w:ascii="FangSong_GB2312" w:hAnsi="仿宋" w:eastAsia="FangSong_GB2312" w:cs="Arial"/>
          <w:color w:val="000000" w:themeColor="text1"/>
          <w:sz w:val="32"/>
          <w:szCs w:val="32"/>
          <w:shd w:val="clear" w:color="auto" w:fill="FFFFFF"/>
          <w:lang w:val="en-US" w:eastAsia="zh-CN"/>
          <w14:textFill>
            <w14:solidFill>
              <w14:schemeClr w14:val="tx1"/>
            </w14:solidFill>
          </w14:textFill>
        </w:rPr>
        <w:t>33</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个百分点，成为地方财政收入增长的重要支撑。</w:t>
      </w:r>
    </w:p>
    <w:p>
      <w:pPr>
        <w:widowControl/>
        <w:shd w:val="clear" w:color="auto" w:fill="FFFFFF"/>
        <w:adjustRightInd w:val="0"/>
        <w:snapToGrid w:val="0"/>
        <w:spacing w:line="600" w:lineRule="exact"/>
        <w:ind w:firstLine="640" w:firstLineChars="200"/>
        <w:rPr>
          <w:rFonts w:ascii="FangSong_GB2312" w:hAnsi="仿宋" w:eastAsia="FangSong_GB2312" w:cs="Arial"/>
          <w:color w:val="000000" w:themeColor="text1"/>
          <w:sz w:val="32"/>
          <w:szCs w:val="32"/>
          <w:shd w:val="clear" w:color="auto" w:fill="FFFFFF"/>
          <w14:textFill>
            <w14:solidFill>
              <w14:schemeClr w14:val="tx1"/>
            </w14:solidFill>
          </w14:textFill>
        </w:rPr>
      </w:pPr>
      <w:r>
        <w:rPr>
          <w:rFonts w:hint="eastAsia" w:ascii="仿宋" w:hAnsi="仿宋" w:eastAsia="仿宋" w:cs="宋体"/>
          <w:color w:val="FF0000"/>
          <w:kern w:val="0"/>
          <w:sz w:val="32"/>
          <w:szCs w:val="32"/>
        </w:rPr>
        <w:t xml:space="preserve"> </w:t>
      </w:r>
      <w:r>
        <w:rPr>
          <w:rFonts w:hint="eastAsia" w:ascii="FangSong_GB2312" w:hAnsi="仿宋" w:eastAsia="FangSong_GB2312" w:cs="宋体"/>
          <w:b/>
          <w:color w:val="000000" w:themeColor="text1"/>
          <w:kern w:val="0"/>
          <w:sz w:val="32"/>
          <w:szCs w:val="32"/>
          <w14:textFill>
            <w14:solidFill>
              <w14:schemeClr w14:val="tx1"/>
            </w14:solidFill>
          </w14:textFill>
        </w:rPr>
        <w:t>——精准支出促转型。</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十三五”期间，我县坚持以积极有为的财政政策对冲经济下行压力，财政资金在供给侧扩内需、补短板，精准支出促转型、“提质增效”求发展，提高财政资源的配置效率和使用效益。2020年，投入工业引导资金1500万元，减免企业税费2478万元，帮扶重点企业转型升级；五年累计投入4.14亿元用于“一区两园”扩容提质，“筑巢引凤”结出硕果，入园企业达69家，投产企业58家；五年间统筹调度资金32.7亿元用于城乡功能品质的提升，四大片区棚改和5个老旧小区改造完美收官，芙蓉学校、县妇幼保健院、巫水画廊等一批地标项目顺利建成，城镇建设提质扩容，县域交通网络提质增效。</w:t>
      </w:r>
    </w:p>
    <w:p>
      <w:pPr>
        <w:widowControl/>
        <w:shd w:val="clear" w:color="auto" w:fill="FFFFFF"/>
        <w:adjustRightInd w:val="0"/>
        <w:snapToGrid w:val="0"/>
        <w:spacing w:beforeLines="50" w:line="600" w:lineRule="exact"/>
        <w:ind w:firstLine="643" w:firstLineChars="200"/>
        <w:jc w:val="left"/>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3、支出结构持续优化，民生保障力度空前</w:t>
      </w:r>
    </w:p>
    <w:p>
      <w:pPr>
        <w:widowControl/>
        <w:shd w:val="clear" w:color="auto" w:fill="FFFFFF"/>
        <w:adjustRightInd w:val="0"/>
        <w:snapToGrid w:val="0"/>
        <w:spacing w:line="600" w:lineRule="exact"/>
        <w:ind w:firstLine="640" w:firstLineChars="200"/>
        <w:rPr>
          <w:rFonts w:ascii="FangSong_GB2312" w:hAnsi="仿宋" w:eastAsia="FangSong_GB2312" w:cs="宋体"/>
          <w:color w:val="000000" w:themeColor="text1"/>
          <w:kern w:val="0"/>
          <w:sz w:val="32"/>
          <w:szCs w:val="32"/>
          <w14:textFill>
            <w14:solidFill>
              <w14:schemeClr w14:val="tx1"/>
            </w14:solidFill>
          </w14:textFill>
        </w:rPr>
      </w:pPr>
      <w:r>
        <w:rPr>
          <w:rFonts w:hint="eastAsia" w:ascii="FangSong_GB2312" w:hAnsi="仿宋" w:eastAsia="FangSong_GB2312" w:cs="宋体"/>
          <w:color w:val="000000" w:themeColor="text1"/>
          <w:kern w:val="0"/>
          <w:sz w:val="32"/>
          <w:szCs w:val="32"/>
          <w14:textFill>
            <w14:solidFill>
              <w14:schemeClr w14:val="tx1"/>
            </w14:solidFill>
          </w14:textFill>
        </w:rPr>
        <w:t>“十三五”期间，我县</w:t>
      </w:r>
      <w:r>
        <w:rPr>
          <w:rFonts w:hint="eastAsia" w:ascii="FangSong_GB2312" w:eastAsia="FangSong_GB2312"/>
          <w:sz w:val="32"/>
          <w:szCs w:val="32"/>
        </w:rPr>
        <w:t>按照“保增长、保民生、保稳定”的理财方针和公共财政取向，</w:t>
      </w:r>
      <w:r>
        <w:rPr>
          <w:rFonts w:hint="eastAsia" w:ascii="FangSong_GB2312" w:hAnsi="仿宋" w:eastAsia="FangSong_GB2312"/>
          <w:color w:val="000000" w:themeColor="text1"/>
          <w:sz w:val="32"/>
          <w:szCs w:val="32"/>
          <w14:textFill>
            <w14:solidFill>
              <w14:schemeClr w14:val="tx1"/>
            </w14:solidFill>
          </w14:textFill>
        </w:rPr>
        <w:t>着力调整优化支出结构，</w:t>
      </w:r>
      <w:r>
        <w:rPr>
          <w:rFonts w:hint="eastAsia" w:ascii="FangSong_GB2312" w:hAnsi="微软雅黑" w:eastAsia="FangSong_GB2312"/>
          <w:color w:val="000000" w:themeColor="text1"/>
          <w:sz w:val="32"/>
          <w:szCs w:val="32"/>
          <w:shd w:val="clear" w:color="auto" w:fill="FFFFFF"/>
          <w14:textFill>
            <w14:solidFill>
              <w14:schemeClr w14:val="tx1"/>
            </w14:solidFill>
          </w14:textFill>
        </w:rPr>
        <w:t>坚决兜牢民生底线，不断</w:t>
      </w:r>
      <w:r>
        <w:rPr>
          <w:rFonts w:hint="eastAsia" w:ascii="FangSong_GB2312" w:hAnsi="仿宋" w:eastAsia="FangSong_GB2312"/>
          <w:color w:val="000000" w:themeColor="text1"/>
          <w:sz w:val="32"/>
          <w:szCs w:val="32"/>
          <w14:textFill>
            <w14:solidFill>
              <w14:schemeClr w14:val="tx1"/>
            </w14:solidFill>
          </w14:textFill>
        </w:rPr>
        <w:t>增进民生福祉。</w:t>
      </w:r>
      <w:r>
        <w:rPr>
          <w:rFonts w:hint="eastAsia" w:ascii="FangSong_GB2312" w:hAnsi="仿宋" w:eastAsia="FangSong_GB2312"/>
          <w:color w:val="000000" w:themeColor="text1"/>
          <w:sz w:val="32"/>
          <w:szCs w:val="32"/>
          <w:lang w:eastAsia="zh-CN"/>
          <w14:textFill>
            <w14:solidFill>
              <w14:schemeClr w14:val="tx1"/>
            </w14:solidFill>
          </w14:textFill>
        </w:rPr>
        <w:t>五</w:t>
      </w:r>
      <w:r>
        <w:rPr>
          <w:rFonts w:hint="eastAsia" w:ascii="FangSong_GB2312" w:hAnsi="仿宋" w:eastAsia="FangSong_GB2312"/>
          <w:bCs/>
          <w:color w:val="000000" w:themeColor="text1"/>
          <w:sz w:val="32"/>
          <w:szCs w:val="32"/>
          <w14:textFill>
            <w14:solidFill>
              <w14:schemeClr w14:val="tx1"/>
            </w14:solidFill>
          </w14:textFill>
        </w:rPr>
        <w:t>年来，</w:t>
      </w:r>
      <w:r>
        <w:rPr>
          <w:rFonts w:hint="eastAsia" w:ascii="FangSong_GB2312" w:hAnsi="仿宋" w:eastAsia="FangSong_GB2312"/>
          <w:color w:val="000000" w:themeColor="text1"/>
          <w:sz w:val="32"/>
          <w:szCs w:val="32"/>
          <w14:textFill>
            <w14:solidFill>
              <w14:schemeClr w14:val="tx1"/>
            </w14:solidFill>
          </w14:textFill>
        </w:rPr>
        <w:t>财政用于民生领域的支出达</w:t>
      </w:r>
      <w:r>
        <w:rPr>
          <w:rFonts w:hint="eastAsia" w:ascii="FangSong_GB2312" w:hAnsi="仿宋" w:eastAsia="FangSong_GB2312"/>
          <w:color w:val="000000" w:themeColor="text1"/>
          <w:sz w:val="32"/>
          <w:szCs w:val="32"/>
          <w:lang w:val="en-US" w:eastAsia="zh-CN"/>
          <w14:textFill>
            <w14:solidFill>
              <w14:schemeClr w14:val="tx1"/>
            </w14:solidFill>
          </w14:textFill>
        </w:rPr>
        <w:t>94.75</w:t>
      </w:r>
      <w:r>
        <w:rPr>
          <w:rFonts w:hint="eastAsia" w:ascii="FangSong_GB2312" w:hAnsi="仿宋" w:eastAsia="FangSong_GB2312"/>
          <w:color w:val="000000" w:themeColor="text1"/>
          <w:sz w:val="32"/>
          <w:szCs w:val="32"/>
          <w14:textFill>
            <w14:solidFill>
              <w14:schemeClr w14:val="tx1"/>
            </w14:solidFill>
          </w14:textFill>
        </w:rPr>
        <w:t>亿元，占全县财政总支出的</w:t>
      </w:r>
      <w:r>
        <w:rPr>
          <w:rFonts w:hint="eastAsia" w:ascii="FangSong_GB2312" w:hAnsi="仿宋" w:eastAsia="FangSong_GB2312"/>
          <w:color w:val="000000" w:themeColor="text1"/>
          <w:sz w:val="32"/>
          <w:szCs w:val="32"/>
          <w:lang w:val="en-US" w:eastAsia="zh-CN"/>
          <w14:textFill>
            <w14:solidFill>
              <w14:schemeClr w14:val="tx1"/>
            </w14:solidFill>
          </w14:textFill>
        </w:rPr>
        <w:t>65.89</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s="宋体"/>
          <w:color w:val="000000" w:themeColor="text1"/>
          <w:kern w:val="0"/>
          <w:sz w:val="32"/>
          <w:szCs w:val="32"/>
          <w14:textFill>
            <w14:solidFill>
              <w14:schemeClr w14:val="tx1"/>
            </w14:solidFill>
          </w14:textFill>
        </w:rPr>
        <w:t>。</w:t>
      </w:r>
    </w:p>
    <w:p>
      <w:pPr>
        <w:widowControl/>
        <w:shd w:val="clear" w:color="auto" w:fill="FFFFFF"/>
        <w:adjustRightInd w:val="0"/>
        <w:snapToGrid w:val="0"/>
        <w:spacing w:line="600" w:lineRule="exact"/>
        <w:ind w:firstLine="643" w:firstLineChars="200"/>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bCs/>
          <w:color w:val="000000" w:themeColor="text1"/>
          <w:sz w:val="32"/>
          <w:szCs w:val="32"/>
          <w14:textFill>
            <w14:solidFill>
              <w14:schemeClr w14:val="tx1"/>
            </w14:solidFill>
          </w14:textFill>
        </w:rPr>
        <w:t>社会保障全面加强。</w:t>
      </w:r>
      <w:r>
        <w:rPr>
          <w:rFonts w:hint="eastAsia" w:ascii="FangSong_GB2312" w:hAnsi="仿宋" w:eastAsia="FangSong_GB2312"/>
          <w:color w:val="000000" w:themeColor="text1"/>
          <w:sz w:val="32"/>
          <w:szCs w:val="32"/>
          <w14:textFill>
            <w14:solidFill>
              <w14:schemeClr w14:val="tx1"/>
            </w14:solidFill>
          </w14:textFill>
        </w:rPr>
        <w:t>全县社会保障和就业累计支出</w:t>
      </w:r>
      <w:r>
        <w:rPr>
          <w:rFonts w:hint="eastAsia" w:ascii="FangSong_GB2312" w:hAnsi="仿宋" w:eastAsia="FangSong_GB2312"/>
          <w:color w:val="000000" w:themeColor="text1"/>
          <w:sz w:val="32"/>
          <w:szCs w:val="32"/>
          <w:lang w:val="en-US" w:eastAsia="zh-CN"/>
          <w14:textFill>
            <w14:solidFill>
              <w14:schemeClr w14:val="tx1"/>
            </w14:solidFill>
          </w14:textFill>
        </w:rPr>
        <w:t>23.11</w:t>
      </w:r>
      <w:r>
        <w:rPr>
          <w:rFonts w:hint="eastAsia" w:ascii="FangSong_GB2312" w:hAnsi="仿宋" w:eastAsia="FangSong_GB2312"/>
          <w:color w:val="000000" w:themeColor="text1"/>
          <w:sz w:val="32"/>
          <w:szCs w:val="32"/>
          <w14:textFill>
            <w14:solidFill>
              <w14:schemeClr w14:val="tx1"/>
            </w14:solidFill>
          </w14:textFill>
        </w:rPr>
        <w:t>亿元，年均增长</w:t>
      </w:r>
      <w:r>
        <w:rPr>
          <w:rFonts w:hint="eastAsia" w:ascii="FangSong_GB2312" w:hAnsi="仿宋" w:eastAsia="FangSong_GB2312"/>
          <w:color w:val="000000" w:themeColor="text1"/>
          <w:sz w:val="32"/>
          <w:szCs w:val="32"/>
          <w:lang w:val="en-US" w:eastAsia="zh-CN"/>
          <w14:textFill>
            <w14:solidFill>
              <w14:schemeClr w14:val="tx1"/>
            </w14:solidFill>
          </w14:textFill>
        </w:rPr>
        <w:t>1.4</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s="Times New Roman"/>
          <w:color w:val="000000" w:themeColor="text1"/>
          <w:spacing w:val="6"/>
          <w:sz w:val="32"/>
          <w:szCs w:val="32"/>
          <w14:textFill>
            <w14:solidFill>
              <w14:schemeClr w14:val="tx1"/>
            </w14:solidFill>
          </w14:textFill>
        </w:rPr>
        <w:t>20</w:t>
      </w:r>
      <w:r>
        <w:rPr>
          <w:rFonts w:hint="eastAsia" w:ascii="FangSong_GB2312" w:hAnsi="仿宋" w:cs="Times New Roman"/>
          <w:color w:val="000000" w:themeColor="text1"/>
          <w:spacing w:val="6"/>
          <w:sz w:val="32"/>
          <w:szCs w:val="32"/>
          <w14:textFill>
            <w14:solidFill>
              <w14:schemeClr w14:val="tx1"/>
            </w14:solidFill>
          </w14:textFill>
        </w:rPr>
        <w:t>20</w:t>
      </w:r>
      <w:r>
        <w:rPr>
          <w:rFonts w:hint="eastAsia" w:ascii="FangSong_GB2312" w:hAnsi="仿宋" w:eastAsia="FangSong_GB2312" w:cs="Times New Roman"/>
          <w:color w:val="000000" w:themeColor="text1"/>
          <w:spacing w:val="6"/>
          <w:sz w:val="32"/>
          <w:szCs w:val="32"/>
          <w14:textFill>
            <w14:solidFill>
              <w14:schemeClr w14:val="tx1"/>
            </w14:solidFill>
          </w14:textFill>
        </w:rPr>
        <w:t>年，</w:t>
      </w:r>
      <w:r>
        <w:rPr>
          <w:rFonts w:hint="eastAsia" w:ascii="FangSong_GB2312" w:hAnsi="仿宋" w:eastAsia="FangSong_GB2312"/>
          <w:color w:val="000000" w:themeColor="text1"/>
          <w:sz w:val="32"/>
          <w:szCs w:val="32"/>
          <w14:textFill>
            <w14:solidFill>
              <w14:schemeClr w14:val="tx1"/>
            </w14:solidFill>
          </w14:textFill>
        </w:rPr>
        <w:t>发放创业担保贷款4615万元，新增城镇就业3550人，失业人员再就业1917人，就业困难对象再就业621人，</w:t>
      </w:r>
      <w:r>
        <w:rPr>
          <w:rFonts w:hint="eastAsia" w:ascii="FangSong_GB2312" w:hAnsi="仿宋" w:eastAsia="FangSong_GB2312" w:cs="Times New Roman"/>
          <w:color w:val="000000" w:themeColor="text1"/>
          <w:spacing w:val="6"/>
          <w:sz w:val="32"/>
          <w:szCs w:val="32"/>
          <w14:textFill>
            <w14:solidFill>
              <w14:schemeClr w14:val="tx1"/>
            </w14:solidFill>
          </w14:textFill>
        </w:rPr>
        <w:t>创业就业更加充分；“五类保险”覆盖范围不断扩大</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olor w:val="333333"/>
          <w:sz w:val="32"/>
          <w:szCs w:val="32"/>
        </w:rPr>
        <w:t>安排低保资金4275万元，</w:t>
      </w:r>
      <w:r>
        <w:rPr>
          <w:rFonts w:hint="eastAsia" w:ascii="FangSong_GB2312" w:hAnsi="仿宋" w:eastAsia="FangSong_GB2312" w:cs="Times New Roman"/>
          <w:color w:val="000000"/>
          <w:sz w:val="32"/>
          <w:szCs w:val="32"/>
        </w:rPr>
        <w:t>发放残疾人“两项补贴”资金678万余元，特困</w:t>
      </w:r>
      <w:r>
        <w:rPr>
          <w:rFonts w:hint="eastAsia" w:ascii="FangSong_GB2312" w:hAnsi="仿宋" w:eastAsia="FangSong_GB2312"/>
          <w:color w:val="333333"/>
          <w:sz w:val="32"/>
          <w:szCs w:val="32"/>
        </w:rPr>
        <w:t>救助供养740万元</w:t>
      </w:r>
      <w:r>
        <w:rPr>
          <w:rFonts w:hint="eastAsia" w:ascii="FangSong_GB2312" w:hAnsi="仿宋" w:eastAsia="FangSong_GB2312" w:cs="Times New Roman"/>
          <w:color w:val="000000"/>
          <w:sz w:val="32"/>
          <w:szCs w:val="32"/>
        </w:rPr>
        <w:t>，临时救助9322人次</w:t>
      </w:r>
      <w:r>
        <w:rPr>
          <w:rFonts w:hint="eastAsia" w:ascii="FangSong_GB2312" w:hAnsi="仿宋" w:eastAsia="FangSong_GB2312" w:cs="Times New Roman"/>
          <w:color w:val="000000" w:themeColor="text1"/>
          <w:spacing w:val="6"/>
          <w:sz w:val="32"/>
          <w:szCs w:val="32"/>
          <w14:textFill>
            <w14:solidFill>
              <w14:schemeClr w14:val="tx1"/>
            </w14:solidFill>
          </w14:textFill>
        </w:rPr>
        <w:t>，社会救助更加规范。</w:t>
      </w:r>
    </w:p>
    <w:p>
      <w:pPr>
        <w:widowControl/>
        <w:shd w:val="clear" w:color="auto" w:fill="FFFFFF"/>
        <w:adjustRightInd w:val="0"/>
        <w:snapToGrid w:val="0"/>
        <w:spacing w:line="600" w:lineRule="exact"/>
        <w:ind w:firstLine="643" w:firstLineChars="200"/>
        <w:rPr>
          <w:rFonts w:ascii="FangSong_GB2312" w:hAnsi="仿宋" w:eastAsia="FangSong_GB2312" w:cs="Times New Roman"/>
          <w:color w:val="FF0000"/>
          <w:spacing w:val="6"/>
          <w:sz w:val="32"/>
          <w:szCs w:val="32"/>
        </w:rPr>
      </w:pPr>
      <w:r>
        <w:rPr>
          <w:rFonts w:hint="eastAsia" w:ascii="FangSong_GB2312" w:hAnsi="仿宋" w:eastAsia="FangSong_GB2312"/>
          <w:b/>
          <w:color w:val="000000" w:themeColor="text1"/>
          <w:sz w:val="32"/>
          <w:szCs w:val="32"/>
          <w14:textFill>
            <w14:solidFill>
              <w14:schemeClr w14:val="tx1"/>
            </w14:solidFill>
          </w14:textFill>
        </w:rPr>
        <w:t>——支持“科教兴县”战略实施</w:t>
      </w:r>
      <w:r>
        <w:rPr>
          <w:rFonts w:hint="eastAsia" w:ascii="FangSong_GB2312" w:hAnsi="仿宋" w:eastAsia="FangSong_GB2312"/>
          <w:color w:val="000000" w:themeColor="text1"/>
          <w:sz w:val="32"/>
          <w:szCs w:val="32"/>
          <w14:textFill>
            <w14:solidFill>
              <w14:schemeClr w14:val="tx1"/>
            </w14:solidFill>
          </w14:textFill>
        </w:rPr>
        <w:t>。全县教育和科学技术分别累计支出</w:t>
      </w:r>
      <w:r>
        <w:rPr>
          <w:rFonts w:hint="eastAsia" w:ascii="FangSong_GB2312" w:hAnsi="仿宋" w:eastAsia="FangSong_GB2312"/>
          <w:color w:val="000000" w:themeColor="text1"/>
          <w:sz w:val="32"/>
          <w:szCs w:val="32"/>
          <w:lang w:val="en-US" w:eastAsia="zh-CN"/>
          <w14:textFill>
            <w14:solidFill>
              <w14:schemeClr w14:val="tx1"/>
            </w14:solidFill>
          </w14:textFill>
        </w:rPr>
        <w:t>22.57</w:t>
      </w:r>
      <w:r>
        <w:rPr>
          <w:rFonts w:hint="eastAsia" w:ascii="FangSong_GB2312" w:hAnsi="仿宋" w:eastAsia="FangSong_GB2312"/>
          <w:color w:val="000000" w:themeColor="text1"/>
          <w:sz w:val="32"/>
          <w:szCs w:val="32"/>
          <w14:textFill>
            <w14:solidFill>
              <w14:schemeClr w14:val="tx1"/>
            </w14:solidFill>
          </w14:textFill>
        </w:rPr>
        <w:t>亿元、0.23亿元，大力改善城乡义务教育学校办学条件，确保教师的平均工资水平不低于当地公务员的平均工资水平；</w:t>
      </w:r>
      <w:r>
        <w:rPr>
          <w:rFonts w:hint="eastAsia" w:ascii="FangSong_GB2312" w:hAnsi="仿宋" w:eastAsia="FangSong_GB2312"/>
          <w:color w:val="333333"/>
          <w:sz w:val="32"/>
          <w:szCs w:val="32"/>
        </w:rPr>
        <w:t>新增义务教育阶段学位1660个，化解大班额151个，</w:t>
      </w:r>
      <w:r>
        <w:rPr>
          <w:rFonts w:hint="eastAsia" w:ascii="FangSong_GB2312" w:hAnsi="仿宋" w:eastAsia="FangSong_GB2312" w:cs="Times New Roman"/>
          <w:color w:val="000000"/>
          <w:sz w:val="32"/>
          <w:szCs w:val="32"/>
        </w:rPr>
        <w:t>教学质量稳步提升，高考成绩创近十年新高，获评全市教育督导工作先进。</w:t>
      </w:r>
      <w:r>
        <w:rPr>
          <w:rFonts w:hint="eastAsia" w:ascii="FangSong_GB2312" w:hAnsi="仿宋" w:eastAsia="FangSong_GB2312" w:cs="Times New Roman"/>
          <w:color w:val="000000" w:themeColor="text1"/>
          <w:spacing w:val="6"/>
          <w:sz w:val="32"/>
          <w:szCs w:val="32"/>
          <w14:textFill>
            <w14:solidFill>
              <w14:schemeClr w14:val="tx1"/>
            </w14:solidFill>
          </w14:textFill>
        </w:rPr>
        <w:t>20</w:t>
      </w:r>
      <w:r>
        <w:rPr>
          <w:rFonts w:hint="eastAsia" w:ascii="FangSong_GB2312" w:hAnsi="仿宋" w:cs="Times New Roman"/>
          <w:color w:val="000000" w:themeColor="text1"/>
          <w:spacing w:val="6"/>
          <w:sz w:val="32"/>
          <w:szCs w:val="32"/>
          <w14:textFill>
            <w14:solidFill>
              <w14:schemeClr w14:val="tx1"/>
            </w14:solidFill>
          </w14:textFill>
        </w:rPr>
        <w:t>20</w:t>
      </w:r>
      <w:r>
        <w:rPr>
          <w:rFonts w:hint="eastAsia" w:ascii="FangSong_GB2312" w:hAnsi="仿宋" w:eastAsia="FangSong_GB2312" w:cs="Times New Roman"/>
          <w:color w:val="000000" w:themeColor="text1"/>
          <w:spacing w:val="6"/>
          <w:sz w:val="32"/>
          <w:szCs w:val="32"/>
          <w14:textFill>
            <w14:solidFill>
              <w14:schemeClr w14:val="tx1"/>
            </w14:solidFill>
          </w14:textFill>
        </w:rPr>
        <w:t>年，申请专利163件，授权专利</w:t>
      </w:r>
      <w:r>
        <w:rPr>
          <w:rFonts w:hint="eastAsia" w:ascii="FangSong_GB2312" w:hAnsi="仿宋" w:cs="Times New Roman"/>
          <w:color w:val="000000" w:themeColor="text1"/>
          <w:spacing w:val="6"/>
          <w:sz w:val="32"/>
          <w:szCs w:val="32"/>
          <w14:textFill>
            <w14:solidFill>
              <w14:schemeClr w14:val="tx1"/>
            </w14:solidFill>
          </w14:textFill>
        </w:rPr>
        <w:t>450</w:t>
      </w:r>
      <w:r>
        <w:rPr>
          <w:rFonts w:hint="eastAsia" w:ascii="FangSong_GB2312" w:hAnsi="仿宋" w:eastAsia="FangSong_GB2312" w:cs="Times New Roman"/>
          <w:color w:val="000000" w:themeColor="text1"/>
          <w:spacing w:val="6"/>
          <w:sz w:val="32"/>
          <w:szCs w:val="32"/>
          <w14:textFill>
            <w14:solidFill>
              <w14:schemeClr w14:val="tx1"/>
            </w14:solidFill>
          </w14:textFill>
        </w:rPr>
        <w:t>件，科技成果3项。</w:t>
      </w:r>
    </w:p>
    <w:p>
      <w:pPr>
        <w:widowControl/>
        <w:shd w:val="clear" w:color="auto" w:fill="FFFFFF"/>
        <w:adjustRightInd w:val="0"/>
        <w:snapToGrid w:val="0"/>
        <w:spacing w:line="600" w:lineRule="exact"/>
        <w:ind w:firstLine="643" w:firstLineChars="200"/>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——不断提升公共卫生服务水平</w:t>
      </w:r>
      <w:r>
        <w:rPr>
          <w:rFonts w:hint="eastAsia" w:ascii="FangSong_GB2312" w:hAnsi="仿宋" w:eastAsia="FangSong_GB2312"/>
          <w:color w:val="000000" w:themeColor="text1"/>
          <w:sz w:val="32"/>
          <w:szCs w:val="32"/>
          <w14:textFill>
            <w14:solidFill>
              <w14:schemeClr w14:val="tx1"/>
            </w14:solidFill>
          </w14:textFill>
        </w:rPr>
        <w:t>。全县卫生健康累计支出</w:t>
      </w:r>
      <w:r>
        <w:rPr>
          <w:rFonts w:hint="eastAsia" w:ascii="FangSong_GB2312" w:hAnsi="仿宋" w:eastAsia="FangSong_GB2312"/>
          <w:color w:val="000000" w:themeColor="text1"/>
          <w:sz w:val="32"/>
          <w:szCs w:val="32"/>
          <w:lang w:val="en-US" w:eastAsia="zh-CN"/>
          <w14:textFill>
            <w14:solidFill>
              <w14:schemeClr w14:val="tx1"/>
            </w14:solidFill>
          </w14:textFill>
        </w:rPr>
        <w:t>41.31</w:t>
      </w:r>
      <w:r>
        <w:rPr>
          <w:rFonts w:hint="eastAsia" w:ascii="FangSong_GB2312" w:hAnsi="仿宋" w:eastAsia="FangSong_GB2312"/>
          <w:color w:val="000000" w:themeColor="text1"/>
          <w:sz w:val="32"/>
          <w:szCs w:val="32"/>
          <w14:textFill>
            <w14:solidFill>
              <w14:schemeClr w14:val="tx1"/>
            </w14:solidFill>
          </w14:textFill>
        </w:rPr>
        <w:t>亿元，年均增长</w:t>
      </w:r>
      <w:r>
        <w:rPr>
          <w:rFonts w:hint="eastAsia" w:ascii="FangSong_GB2312" w:hAnsi="仿宋" w:eastAsia="FangSong_GB2312"/>
          <w:color w:val="000000" w:themeColor="text1"/>
          <w:sz w:val="32"/>
          <w:szCs w:val="32"/>
          <w:lang w:val="en-US" w:eastAsia="zh-CN"/>
          <w14:textFill>
            <w14:solidFill>
              <w14:schemeClr w14:val="tx1"/>
            </w14:solidFill>
          </w14:textFill>
        </w:rPr>
        <w:t>11.94</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olor w:val="000000" w:themeColor="text1"/>
          <w:sz w:val="32"/>
          <w:szCs w:val="32"/>
          <w:lang w:eastAsia="zh-CN"/>
          <w14:textFill>
            <w14:solidFill>
              <w14:schemeClr w14:val="tx1"/>
            </w14:solidFill>
          </w14:textFill>
        </w:rPr>
        <w:t>，</w:t>
      </w:r>
      <w:r>
        <w:rPr>
          <w:rFonts w:hint="eastAsia" w:ascii="FangSong_GB2312" w:hAnsi="仿宋" w:eastAsia="FangSong_GB2312"/>
          <w:color w:val="000000" w:themeColor="text1"/>
          <w:sz w:val="32"/>
          <w:szCs w:val="32"/>
          <w:lang w:val="en-US" w:eastAsia="zh-CN"/>
          <w14:textFill>
            <w14:solidFill>
              <w14:schemeClr w14:val="tx1"/>
            </w14:solidFill>
          </w14:textFill>
        </w:rPr>
        <w:t>特别是在新冠疫情期间优先保障其相关支出</w:t>
      </w:r>
      <w:r>
        <w:rPr>
          <w:rFonts w:hint="eastAsia" w:ascii="FangSong_GB2312" w:hAnsi="仿宋" w:eastAsia="FangSong_GB2312" w:cs="FangSong_GB2312"/>
          <w:b/>
          <w:color w:val="000000" w:themeColor="text1"/>
          <w:sz w:val="32"/>
          <w:szCs w:val="32"/>
          <w14:textFill>
            <w14:solidFill>
              <w14:schemeClr w14:val="tx1"/>
            </w14:solidFill>
          </w14:textFill>
        </w:rPr>
        <w:t>。</w:t>
      </w:r>
      <w:r>
        <w:rPr>
          <w:rFonts w:hint="eastAsia" w:ascii="FangSong_GB2312" w:hAnsi="仿宋" w:eastAsia="FangSong_GB2312" w:cs="Times New Roman"/>
          <w:color w:val="000000"/>
          <w:sz w:val="32"/>
          <w:szCs w:val="32"/>
        </w:rPr>
        <w:t>县妇计中心整体搬迁一期、17个乡镇卫生院远程诊疗室</w:t>
      </w:r>
      <w:r>
        <w:rPr>
          <w:rFonts w:hint="eastAsia" w:ascii="FangSong_GB2312" w:hAnsi="仿宋" w:eastAsia="FangSong_GB2312"/>
          <w:color w:val="000000" w:themeColor="text1"/>
          <w:sz w:val="32"/>
          <w:szCs w:val="32"/>
          <w14:textFill>
            <w14:solidFill>
              <w14:schemeClr w14:val="tx1"/>
            </w14:solidFill>
          </w14:textFill>
        </w:rPr>
        <w:t>建成投入使用。</w:t>
      </w:r>
      <w:r>
        <w:rPr>
          <w:rFonts w:hint="eastAsia" w:ascii="FangSong_GB2312" w:hAnsi="仿宋" w:eastAsia="FangSong_GB2312" w:cs="Times New Roman"/>
          <w:color w:val="000000"/>
          <w:sz w:val="32"/>
          <w:szCs w:val="32"/>
        </w:rPr>
        <w:t>城乡居民医保参保30.44万人，参保率99.4%；</w:t>
      </w:r>
      <w:r>
        <w:rPr>
          <w:rFonts w:hint="eastAsia" w:ascii="FangSong_GB2312" w:hAnsi="仿宋" w:eastAsia="FangSong_GB2312"/>
          <w:color w:val="333333"/>
          <w:sz w:val="32"/>
          <w:szCs w:val="32"/>
        </w:rPr>
        <w:t>落实了医保救助报销和贫困户先诊疗后付费、一站式结算，106个单病种列入限额付费范围等政策。实施基本药物制度通过省级验收。</w:t>
      </w:r>
    </w:p>
    <w:p>
      <w:pPr>
        <w:widowControl/>
        <w:shd w:val="clear" w:color="auto" w:fill="FFFFFF"/>
        <w:adjustRightInd w:val="0"/>
        <w:snapToGrid w:val="0"/>
        <w:spacing w:line="600" w:lineRule="exact"/>
        <w:ind w:firstLine="643" w:firstLineChars="200"/>
        <w:rPr>
          <w:rFonts w:ascii="FangSong_GB2312" w:hAnsi="仿宋" w:eastAsia="FangSong_GB2312" w:cs="Times New Roman"/>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bCs/>
          <w:color w:val="000000" w:themeColor="text1"/>
          <w:sz w:val="32"/>
          <w:szCs w:val="32"/>
          <w14:textFill>
            <w14:solidFill>
              <w14:schemeClr w14:val="tx1"/>
            </w14:solidFill>
          </w14:textFill>
        </w:rPr>
        <w:t>落实</w:t>
      </w:r>
      <w:r>
        <w:rPr>
          <w:rFonts w:hint="eastAsia" w:ascii="FangSong_GB2312" w:hAnsi="仿宋" w:eastAsia="FangSong_GB2312" w:cs="Times New Roman"/>
          <w:b/>
          <w:color w:val="000000" w:themeColor="text1"/>
          <w:sz w:val="32"/>
          <w:szCs w:val="32"/>
          <w14:textFill>
            <w14:solidFill>
              <w14:schemeClr w14:val="tx1"/>
            </w14:solidFill>
          </w14:textFill>
        </w:rPr>
        <w:t>住房保障</w:t>
      </w:r>
      <w:r>
        <w:rPr>
          <w:rFonts w:hint="eastAsia" w:ascii="FangSong_GB2312" w:hAnsi="仿宋" w:eastAsia="FangSong_GB2312"/>
          <w:b/>
          <w:bCs/>
          <w:color w:val="000000" w:themeColor="text1"/>
          <w:sz w:val="32"/>
          <w:szCs w:val="32"/>
          <w14:textFill>
            <w14:solidFill>
              <w14:schemeClr w14:val="tx1"/>
            </w14:solidFill>
          </w14:textFill>
        </w:rPr>
        <w:t>政策</w:t>
      </w:r>
      <w:r>
        <w:rPr>
          <w:rFonts w:hint="eastAsia" w:ascii="FangSong_GB2312" w:hAnsi="仿宋" w:eastAsia="FangSong_GB2312"/>
          <w:bCs/>
          <w:color w:val="000000" w:themeColor="text1"/>
          <w:sz w:val="32"/>
          <w:szCs w:val="32"/>
          <w14:textFill>
            <w14:solidFill>
              <w14:schemeClr w14:val="tx1"/>
            </w14:solidFill>
          </w14:textFill>
        </w:rPr>
        <w:t>。全县</w:t>
      </w:r>
      <w:r>
        <w:rPr>
          <w:rFonts w:hint="eastAsia" w:ascii="FangSong_GB2312" w:hAnsi="仿宋" w:eastAsia="FangSong_GB2312" w:cs="Times New Roman"/>
          <w:color w:val="000000" w:themeColor="text1"/>
          <w:sz w:val="32"/>
          <w:szCs w:val="32"/>
          <w14:textFill>
            <w14:solidFill>
              <w14:schemeClr w14:val="tx1"/>
            </w14:solidFill>
          </w14:textFill>
        </w:rPr>
        <w:t>住房保障</w:t>
      </w:r>
      <w:r>
        <w:rPr>
          <w:rFonts w:hint="eastAsia" w:ascii="FangSong_GB2312" w:hAnsi="仿宋" w:eastAsia="FangSong_GB2312"/>
          <w:color w:val="000000" w:themeColor="text1"/>
          <w:sz w:val="32"/>
          <w:szCs w:val="32"/>
          <w14:textFill>
            <w14:solidFill>
              <w14:schemeClr w14:val="tx1"/>
            </w14:solidFill>
          </w14:textFill>
        </w:rPr>
        <w:t>累计</w:t>
      </w:r>
      <w:r>
        <w:rPr>
          <w:rFonts w:hint="eastAsia" w:ascii="FangSong_GB2312" w:hAnsi="仿宋" w:eastAsia="FangSong_GB2312" w:cs="Times New Roman"/>
          <w:color w:val="000000" w:themeColor="text1"/>
          <w:sz w:val="32"/>
          <w:szCs w:val="32"/>
          <w14:textFill>
            <w14:solidFill>
              <w14:schemeClr w14:val="tx1"/>
            </w14:solidFill>
          </w14:textFill>
        </w:rPr>
        <w:t>支出</w:t>
      </w:r>
      <w:r>
        <w:rPr>
          <w:rFonts w:hint="eastAsia" w:ascii="FangSong_GB2312" w:hAnsi="仿宋" w:eastAsia="FangSong_GB2312"/>
          <w:color w:val="000000" w:themeColor="text1"/>
          <w:sz w:val="32"/>
          <w:szCs w:val="32"/>
          <w14:textFill>
            <w14:solidFill>
              <w14:schemeClr w14:val="tx1"/>
            </w14:solidFill>
          </w14:textFill>
        </w:rPr>
        <w:t>3.64亿元</w:t>
      </w:r>
      <w:r>
        <w:rPr>
          <w:rFonts w:hint="eastAsia" w:ascii="FangSong_GB2312" w:hAnsi="仿宋" w:eastAsia="FangSong_GB2312" w:cs="Times New Roman"/>
          <w:color w:val="000000" w:themeColor="text1"/>
          <w:sz w:val="32"/>
          <w:szCs w:val="32"/>
          <w14:textFill>
            <w14:solidFill>
              <w14:schemeClr w14:val="tx1"/>
            </w14:solidFill>
          </w14:textFill>
        </w:rPr>
        <w:t>。20</w:t>
      </w:r>
      <w:r>
        <w:rPr>
          <w:rFonts w:hint="eastAsia" w:ascii="FangSong_GB2312" w:hAnsi="仿宋" w:cs="Times New Roman"/>
          <w:color w:val="000000" w:themeColor="text1"/>
          <w:sz w:val="32"/>
          <w:szCs w:val="32"/>
          <w14:textFill>
            <w14:solidFill>
              <w14:schemeClr w14:val="tx1"/>
            </w14:solidFill>
          </w14:textFill>
        </w:rPr>
        <w:t>20</w:t>
      </w:r>
      <w:r>
        <w:rPr>
          <w:rFonts w:hint="eastAsia" w:ascii="FangSong_GB2312" w:hAnsi="仿宋" w:eastAsia="FangSong_GB2312" w:cs="Times New Roman"/>
          <w:color w:val="000000" w:themeColor="text1"/>
          <w:sz w:val="32"/>
          <w:szCs w:val="32"/>
          <w14:textFill>
            <w14:solidFill>
              <w14:schemeClr w14:val="tx1"/>
            </w14:solidFill>
          </w14:textFill>
        </w:rPr>
        <w:t>年，投入1337万元支持保障性安居工程建设，投入1951万元支持棚户区改造，投入3750万元支持</w:t>
      </w:r>
      <w:r>
        <w:rPr>
          <w:rFonts w:hint="eastAsia" w:ascii="FangSong_GB2312" w:hAnsi="仿宋" w:eastAsia="FangSong_GB2312" w:cs="Times New Roman"/>
          <w:bCs/>
          <w:color w:val="000000" w:themeColor="text1"/>
          <w:sz w:val="32"/>
          <w:szCs w:val="32"/>
          <w14:textFill>
            <w14:solidFill>
              <w14:schemeClr w14:val="tx1"/>
            </w14:solidFill>
          </w14:textFill>
        </w:rPr>
        <w:t>农村</w:t>
      </w:r>
      <w:r>
        <w:rPr>
          <w:rFonts w:hint="eastAsia" w:ascii="FangSong_GB2312" w:hAnsi="仿宋" w:eastAsia="FangSong_GB2312" w:cs="Times New Roman"/>
          <w:color w:val="000000" w:themeColor="text1"/>
          <w:sz w:val="32"/>
          <w:szCs w:val="32"/>
          <w14:textFill>
            <w14:solidFill>
              <w14:schemeClr w14:val="tx1"/>
            </w14:solidFill>
          </w14:textFill>
        </w:rPr>
        <w:t>四类重点对象危房改造，已完成151户，在建18户，</w:t>
      </w:r>
      <w:r>
        <w:rPr>
          <w:rFonts w:hint="eastAsia" w:ascii="FangSong_GB2312" w:hAnsi="仿宋" w:eastAsia="FangSong_GB2312" w:cs="Times New Roman"/>
          <w:bCs/>
          <w:color w:val="000000" w:themeColor="text1"/>
          <w:sz w:val="32"/>
          <w:szCs w:val="32"/>
          <w14:textFill>
            <w14:solidFill>
              <w14:schemeClr w14:val="tx1"/>
            </w14:solidFill>
          </w14:textFill>
        </w:rPr>
        <w:t>农村危房改造任务即将</w:t>
      </w:r>
      <w:r>
        <w:rPr>
          <w:rFonts w:hint="eastAsia" w:ascii="FangSong_GB2312" w:hAnsi="仿宋" w:eastAsia="FangSong_GB2312" w:cs="FangSong_GB2312"/>
          <w:color w:val="000000" w:themeColor="text1"/>
          <w:sz w:val="32"/>
          <w:szCs w:val="32"/>
          <w14:textFill>
            <w14:solidFill>
              <w14:schemeClr w14:val="tx1"/>
            </w14:solidFill>
          </w14:textFill>
        </w:rPr>
        <w:t>完美收官</w:t>
      </w:r>
      <w:r>
        <w:rPr>
          <w:rFonts w:hint="eastAsia" w:ascii="FangSong_GB2312" w:hAnsi="仿宋" w:eastAsia="FangSong_GB2312" w:cs="Times New Roman"/>
          <w:b/>
          <w:bCs/>
          <w:color w:val="000000" w:themeColor="text1"/>
          <w:sz w:val="32"/>
          <w:szCs w:val="32"/>
          <w14:textFill>
            <w14:solidFill>
              <w14:schemeClr w14:val="tx1"/>
            </w14:solidFill>
          </w14:textFill>
        </w:rPr>
        <w:t>。</w:t>
      </w:r>
    </w:p>
    <w:p>
      <w:pPr>
        <w:widowControl/>
        <w:shd w:val="clear" w:color="auto" w:fill="FFFFFF"/>
        <w:adjustRightInd w:val="0"/>
        <w:snapToGrid w:val="0"/>
        <w:spacing w:line="600" w:lineRule="exact"/>
        <w:ind w:firstLine="643" w:firstLineChars="200"/>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——支持推进农业产业化。</w:t>
      </w:r>
      <w:r>
        <w:rPr>
          <w:rFonts w:hint="eastAsia" w:ascii="FangSong_GB2312" w:hAnsi="仿宋" w:eastAsia="FangSong_GB2312"/>
          <w:color w:val="000000" w:themeColor="text1"/>
          <w:sz w:val="32"/>
          <w:szCs w:val="32"/>
          <w14:textFill>
            <w14:solidFill>
              <w14:schemeClr w14:val="tx1"/>
            </w14:solidFill>
          </w14:textFill>
        </w:rPr>
        <w:t>全县农林水累计支出</w:t>
      </w:r>
      <w:r>
        <w:rPr>
          <w:rFonts w:hint="eastAsia" w:ascii="FangSong_GB2312" w:hAnsi="仿宋" w:eastAsia="FangSong_GB2312"/>
          <w:color w:val="000000" w:themeColor="text1"/>
          <w:sz w:val="32"/>
          <w:szCs w:val="32"/>
          <w:lang w:val="en-US" w:eastAsia="zh-CN"/>
          <w14:textFill>
            <w14:solidFill>
              <w14:schemeClr w14:val="tx1"/>
            </w14:solidFill>
          </w14:textFill>
        </w:rPr>
        <w:t>29.49</w:t>
      </w:r>
      <w:r>
        <w:rPr>
          <w:rFonts w:hint="eastAsia" w:ascii="FangSong_GB2312" w:hAnsi="仿宋" w:eastAsia="FangSong_GB2312"/>
          <w:color w:val="000000" w:themeColor="text1"/>
          <w:sz w:val="32"/>
          <w:szCs w:val="32"/>
          <w14:textFill>
            <w14:solidFill>
              <w14:schemeClr w14:val="tx1"/>
            </w14:solidFill>
          </w14:textFill>
        </w:rPr>
        <w:t>亿元，年均增长</w:t>
      </w:r>
      <w:r>
        <w:rPr>
          <w:rFonts w:hint="eastAsia" w:ascii="FangSong_GB2312" w:hAnsi="仿宋" w:eastAsia="FangSong_GB2312"/>
          <w:color w:val="000000" w:themeColor="text1"/>
          <w:sz w:val="32"/>
          <w:szCs w:val="32"/>
          <w:lang w:val="en-US" w:eastAsia="zh-CN"/>
          <w14:textFill>
            <w14:solidFill>
              <w14:schemeClr w14:val="tx1"/>
            </w14:solidFill>
          </w14:textFill>
        </w:rPr>
        <w:t>14.11</w:t>
      </w:r>
      <w:r>
        <w:rPr>
          <w:rFonts w:hint="eastAsia" w:ascii="FangSong_GB2312" w:hAnsi="仿宋" w:eastAsia="FangSong_GB2312"/>
          <w:color w:val="000000" w:themeColor="text1"/>
          <w:sz w:val="32"/>
          <w:szCs w:val="32"/>
          <w14:textFill>
            <w14:solidFill>
              <w14:schemeClr w14:val="tx1"/>
            </w14:solidFill>
          </w14:textFill>
        </w:rPr>
        <w:t>%，重点用于推进现代农林业发展，建立优质稻示范园4个，</w:t>
      </w:r>
      <w:r>
        <w:rPr>
          <w:rFonts w:hint="eastAsia" w:ascii="FangSong_GB2312" w:hAnsi="仿宋" w:eastAsia="FangSong_GB2312" w:cs="Times New Roman"/>
          <w:color w:val="000000" w:themeColor="text1"/>
          <w:sz w:val="32"/>
          <w:szCs w:val="32"/>
          <w14:textFill>
            <w14:solidFill>
              <w14:schemeClr w14:val="tx1"/>
            </w14:solidFill>
          </w14:textFill>
        </w:rPr>
        <w:t>稳定杂交水稻制种9万亩，顺利通过农业部制种大县绩效评价考核；</w:t>
      </w:r>
      <w:r>
        <w:rPr>
          <w:rFonts w:hint="eastAsia" w:ascii="FangSong_GB2312" w:hAnsi="仿宋" w:eastAsia="FangSong_GB2312"/>
          <w:color w:val="000000" w:themeColor="text1"/>
          <w:sz w:val="32"/>
          <w:szCs w:val="32"/>
          <w14:textFill>
            <w14:solidFill>
              <w14:schemeClr w14:val="tx1"/>
            </w14:solidFill>
          </w14:textFill>
        </w:rPr>
        <w:t>楠竹、</w:t>
      </w:r>
      <w:r>
        <w:rPr>
          <w:rFonts w:hint="eastAsia" w:ascii="FangSong_GB2312" w:hAnsi="仿宋" w:eastAsia="FangSong_GB2312" w:cs="Times New Roman"/>
          <w:color w:val="000000" w:themeColor="text1"/>
          <w:sz w:val="32"/>
          <w:szCs w:val="32"/>
          <w14:textFill>
            <w14:solidFill>
              <w14:schemeClr w14:val="tx1"/>
            </w14:solidFill>
          </w14:textFill>
        </w:rPr>
        <w:t>东山红提、</w:t>
      </w:r>
      <w:r>
        <w:rPr>
          <w:rFonts w:hint="eastAsia" w:ascii="FangSong_GB2312" w:hAnsi="仿宋" w:eastAsia="FangSong_GB2312"/>
          <w:color w:val="000000" w:themeColor="text1"/>
          <w:sz w:val="32"/>
          <w:szCs w:val="32"/>
          <w14:textFill>
            <w14:solidFill>
              <w14:schemeClr w14:val="tx1"/>
            </w14:solidFill>
          </w14:textFill>
        </w:rPr>
        <w:t>油菜、绞股蓝、青钱柳，油茶、</w:t>
      </w:r>
      <w:r>
        <w:rPr>
          <w:rFonts w:hint="eastAsia" w:ascii="FangSong_GB2312" w:hAnsi="仿宋" w:eastAsia="FangSong_GB2312"/>
          <w:color w:val="000000" w:themeColor="text1"/>
          <w:sz w:val="32"/>
          <w:szCs w:val="32"/>
          <w:shd w:val="clear" w:color="auto" w:fill="FFFFFF"/>
          <w14:textFill>
            <w14:solidFill>
              <w14:schemeClr w14:val="tx1"/>
            </w14:solidFill>
          </w14:textFill>
        </w:rPr>
        <w:t>东山花猪</w:t>
      </w:r>
      <w:r>
        <w:rPr>
          <w:rFonts w:hint="eastAsia" w:ascii="FangSong_GB2312" w:hAnsi="仿宋" w:eastAsia="FangSong_GB2312" w:cs="Times New Roman"/>
          <w:color w:val="000000" w:themeColor="text1"/>
          <w:sz w:val="32"/>
          <w:szCs w:val="32"/>
          <w14:textFill>
            <w14:solidFill>
              <w14:schemeClr w14:val="tx1"/>
            </w14:solidFill>
          </w14:textFill>
        </w:rPr>
        <w:t>等产业规模化发展势头得到巩固</w:t>
      </w:r>
      <w:r>
        <w:rPr>
          <w:rFonts w:hint="eastAsia" w:ascii="FangSong_GB2312" w:hAnsi="仿宋" w:eastAsia="FangSong_GB2312"/>
          <w:color w:val="000000" w:themeColor="text1"/>
          <w:sz w:val="32"/>
          <w:szCs w:val="32"/>
          <w14:textFill>
            <w14:solidFill>
              <w14:schemeClr w14:val="tx1"/>
            </w14:solidFill>
          </w14:textFill>
        </w:rPr>
        <w:t>；</w:t>
      </w:r>
      <w:r>
        <w:rPr>
          <w:rFonts w:hint="eastAsia" w:ascii="FangSong_GB2312" w:hAnsi="仿宋" w:eastAsia="FangSong_GB2312"/>
          <w:color w:val="000000" w:themeColor="text1"/>
          <w:sz w:val="32"/>
          <w:szCs w:val="32"/>
          <w:shd w:val="clear" w:color="auto" w:fill="FFFFFF"/>
          <w14:textFill>
            <w14:solidFill>
              <w14:schemeClr w14:val="tx1"/>
            </w14:solidFill>
          </w14:textFill>
        </w:rPr>
        <w:t>新发展农民专业合作社281家、家庭农场52家</w:t>
      </w:r>
      <w:r>
        <w:rPr>
          <w:rFonts w:hint="eastAsia" w:ascii="FangSong_GB2312" w:hAnsi="仿宋" w:eastAsia="FangSong_GB2312"/>
          <w:color w:val="000000" w:themeColor="text1"/>
          <w:sz w:val="32"/>
          <w:szCs w:val="32"/>
          <w14:textFill>
            <w14:solidFill>
              <w14:schemeClr w14:val="tx1"/>
            </w14:solidFill>
          </w14:textFill>
        </w:rPr>
        <w:t>；新认证无公害农产品21个、绿色食品2个。</w:t>
      </w:r>
    </w:p>
    <w:p>
      <w:pPr>
        <w:widowControl/>
        <w:shd w:val="clear" w:color="auto" w:fill="FFFFFF"/>
        <w:adjustRightInd w:val="0"/>
        <w:snapToGrid w:val="0"/>
        <w:spacing w:line="600" w:lineRule="exact"/>
        <w:ind w:firstLine="640" w:firstLineChars="200"/>
        <w:rPr>
          <w:rFonts w:ascii="FangSong_GB2312" w:hAnsi="仿宋" w:eastAsia="FangSong_GB2312" w:cs="宋体"/>
          <w:b/>
          <w:color w:val="000000" w:themeColor="text1"/>
          <w:kern w:val="0"/>
          <w:sz w:val="32"/>
          <w:szCs w:val="32"/>
          <w14:textFill>
            <w14:solidFill>
              <w14:schemeClr w14:val="tx1"/>
            </w14:solidFill>
          </w14:textFill>
        </w:rPr>
      </w:pPr>
      <w:r>
        <w:rPr>
          <w:rFonts w:hint="eastAsia" w:ascii="FangSong_GB2312" w:hAnsi="仿宋" w:eastAsia="FangSong_GB2312"/>
          <w:color w:val="000000" w:themeColor="text1"/>
          <w:sz w:val="32"/>
          <w:szCs w:val="32"/>
          <w14:textFill>
            <w14:solidFill>
              <w14:schemeClr w14:val="tx1"/>
            </w14:solidFill>
          </w14:textFill>
        </w:rPr>
        <w:t>全县在交通运输支出、城乡社区支出、文化旅游体育与传媒支出、节能环保支出分别为6.38亿元、3.93亿元、2.49亿元和2.3亿元。</w:t>
      </w:r>
      <w:r>
        <w:rPr>
          <w:rFonts w:hint="eastAsia" w:ascii="FangSong_GB2312" w:hAnsi="仿宋" w:eastAsia="FangSong_GB2312" w:cs="宋体"/>
          <w:color w:val="000000" w:themeColor="text1"/>
          <w:kern w:val="0"/>
          <w:sz w:val="32"/>
          <w:szCs w:val="32"/>
          <w14:textFill>
            <w14:solidFill>
              <w14:schemeClr w14:val="tx1"/>
            </w14:solidFill>
          </w14:textFill>
        </w:rPr>
        <w:t>重点民生支出保持稳步增长，体现出政府对保稳定、保民生、促发展方面所做的努力，保障民生的政策效果逐渐增强。</w:t>
      </w:r>
      <w:r>
        <w:rPr>
          <w:rFonts w:hint="eastAsia" w:ascii="FangSong_GB2312" w:hAnsi="仿宋" w:eastAsia="FangSong_GB2312"/>
          <w:color w:val="000000" w:themeColor="text1"/>
          <w:sz w:val="32"/>
          <w:szCs w:val="32"/>
          <w:shd w:val="clear" w:color="auto" w:fill="FFFFFF"/>
          <w14:textFill>
            <w14:solidFill>
              <w14:schemeClr w14:val="tx1"/>
            </w14:solidFill>
          </w14:textFill>
        </w:rPr>
        <w:t>公共财政取之于民，用之于民，</w:t>
      </w:r>
      <w:r>
        <w:rPr>
          <w:rFonts w:hint="eastAsia" w:ascii="FangSong_GB2312" w:hAnsi="仿宋" w:eastAsia="FangSong_GB2312" w:cs="Arial"/>
          <w:color w:val="000000" w:themeColor="text1"/>
          <w:sz w:val="32"/>
          <w:szCs w:val="32"/>
          <w:shd w:val="clear" w:color="auto" w:fill="FFFFFF"/>
          <w14:textFill>
            <w14:solidFill>
              <w14:schemeClr w14:val="tx1"/>
            </w14:solidFill>
          </w14:textFill>
        </w:rPr>
        <w:t>让改革发展成果更多惠及普通群众，全力提升人民幸福感</w:t>
      </w:r>
      <w:r>
        <w:rPr>
          <w:rFonts w:hint="eastAsia" w:ascii="FangSong_GB2312" w:hAnsi="仿宋" w:eastAsia="FangSong_GB2312" w:cs="宋体"/>
          <w:color w:val="000000" w:themeColor="text1"/>
          <w:kern w:val="0"/>
          <w:sz w:val="32"/>
          <w:szCs w:val="32"/>
          <w14:textFill>
            <w14:solidFill>
              <w14:schemeClr w14:val="tx1"/>
            </w14:solidFill>
          </w14:textFill>
        </w:rPr>
        <w:t>。</w:t>
      </w:r>
    </w:p>
    <w:p>
      <w:pPr>
        <w:pStyle w:val="10"/>
        <w:adjustRightInd w:val="0"/>
        <w:snapToGrid w:val="0"/>
        <w:spacing w:beforeLines="50" w:beforeAutospacing="0" w:after="0" w:afterAutospacing="0" w:line="600" w:lineRule="exact"/>
        <w:ind w:firstLine="630" w:firstLineChars="196"/>
        <w:jc w:val="both"/>
        <w:rPr>
          <w:rFonts w:ascii="仿宋" w:hAnsi="仿宋" w:eastAsia="仿宋"/>
          <w:b/>
          <w:sz w:val="32"/>
          <w:szCs w:val="32"/>
        </w:rPr>
      </w:pPr>
      <w:r>
        <w:rPr>
          <w:rFonts w:hint="eastAsia" w:ascii="楷体" w:hAnsi="楷体" w:eastAsia="楷体"/>
          <w:b/>
          <w:sz w:val="32"/>
          <w:szCs w:val="32"/>
        </w:rPr>
        <w:t>4、三大攻坚阶段胜利，财政职能充分发挥</w:t>
      </w:r>
    </w:p>
    <w:p>
      <w:pPr>
        <w:adjustRightInd w:val="0"/>
        <w:snapToGrid w:val="0"/>
        <w:spacing w:line="600" w:lineRule="exact"/>
        <w:ind w:firstLine="646"/>
        <w:rPr>
          <w:rFonts w:ascii="FangSong_GB2312" w:hAnsi="仿宋" w:eastAsia="FangSong_GB2312" w:cs="FangSong_GB2312"/>
          <w:sz w:val="32"/>
          <w:szCs w:val="32"/>
        </w:rPr>
      </w:pPr>
      <w:r>
        <w:rPr>
          <w:rFonts w:hint="eastAsia" w:ascii="FangSong_GB2312" w:hAnsi="仿宋" w:eastAsia="FangSong_GB2312"/>
          <w:b/>
          <w:color w:val="000000" w:themeColor="text1"/>
          <w:sz w:val="32"/>
          <w:szCs w:val="32"/>
          <w14:textFill>
            <w14:solidFill>
              <w14:schemeClr w14:val="tx1"/>
            </w14:solidFill>
          </w14:textFill>
        </w:rPr>
        <w:t>——打好防范化解金融风险战。</w:t>
      </w:r>
      <w:r>
        <w:rPr>
          <w:rFonts w:hint="eastAsia" w:ascii="FangSong_GB2312" w:hAnsi="仿宋" w:eastAsia="FangSong_GB2312" w:cs="宋体"/>
          <w:color w:val="000000" w:themeColor="text1"/>
          <w:kern w:val="0"/>
          <w:sz w:val="32"/>
          <w:szCs w:val="32"/>
          <w14:textFill>
            <w14:solidFill>
              <w14:schemeClr w14:val="tx1"/>
            </w14:solidFill>
          </w14:textFill>
        </w:rPr>
        <w:t>“十三五”期间，财政部门</w:t>
      </w:r>
      <w:r>
        <w:rPr>
          <w:rFonts w:hint="eastAsia" w:ascii="FangSong_GB2312" w:hAnsi="仿宋" w:eastAsia="FangSong_GB2312"/>
          <w:color w:val="333333"/>
          <w:sz w:val="32"/>
          <w:szCs w:val="32"/>
          <w:shd w:val="clear" w:color="auto" w:fill="FFFFFF"/>
        </w:rPr>
        <w:t>坚持底线思维，建立规范的举债融资机制、债务风险常态化监督和债务风险应急处置机制。</w:t>
      </w:r>
      <w:r>
        <w:rPr>
          <w:rFonts w:hint="eastAsia" w:ascii="FangSong_GB2312" w:hAnsi="仿宋"/>
          <w:color w:val="000000" w:themeColor="text1"/>
          <w:sz w:val="32"/>
          <w:szCs w:val="32"/>
          <w14:textFill>
            <w14:solidFill>
              <w14:schemeClr w14:val="tx1"/>
            </w14:solidFill>
          </w14:textFill>
        </w:rPr>
        <w:t>五</w:t>
      </w:r>
      <w:r>
        <w:rPr>
          <w:rFonts w:hint="eastAsia" w:ascii="FangSong_GB2312" w:hAnsi="仿宋" w:eastAsia="FangSong_GB2312"/>
          <w:color w:val="000000" w:themeColor="text1"/>
          <w:sz w:val="32"/>
          <w:szCs w:val="32"/>
          <w14:textFill>
            <w14:solidFill>
              <w14:schemeClr w14:val="tx1"/>
            </w14:solidFill>
          </w14:textFill>
        </w:rPr>
        <w:t>年间共争取到置换债券19.69亿元，降低了债务利息负担，优化了债务期限结构；</w:t>
      </w:r>
      <w:r>
        <w:rPr>
          <w:rFonts w:hint="eastAsia" w:ascii="FangSong_GB2312" w:hAnsi="仿宋" w:eastAsia="FangSong_GB2312"/>
          <w:color w:val="333333"/>
          <w:sz w:val="32"/>
          <w:szCs w:val="32"/>
        </w:rPr>
        <w:t>四</w:t>
      </w:r>
      <w:r>
        <w:rPr>
          <w:rFonts w:hint="eastAsia" w:ascii="FangSong_GB2312" w:hAnsi="仿宋" w:eastAsia="FangSong_GB2312" w:cs="FangSong_GB2312"/>
          <w:sz w:val="32"/>
          <w:szCs w:val="32"/>
        </w:rPr>
        <w:t>年间化解各项债务12.13亿元，缓释到期债务风险、做大政府债务限额空间。至2020年末，全县债务总额为38.03亿元，其中债券资金29.56亿元，隐性债务余额8.42亿元，关注债务0.05亿元。政府债务率116%，综合债务率全省较低，符合“债务率≤120%”的要求。2019年，我县被评为全省防范化解政府债务风险工作考核优秀县。</w:t>
      </w:r>
    </w:p>
    <w:p>
      <w:pPr>
        <w:widowControl/>
        <w:shd w:val="clear" w:color="auto" w:fill="FFFFFF"/>
        <w:adjustRightInd w:val="0"/>
        <w:snapToGrid w:val="0"/>
        <w:spacing w:line="600" w:lineRule="exact"/>
        <w:ind w:firstLine="643" w:firstLineChars="200"/>
        <w:rPr>
          <w:rFonts w:ascii="FangSong_GB2312" w:hAnsi="仿宋" w:eastAsia="FangSong_GB2312" w:cs="仿宋"/>
          <w:sz w:val="32"/>
          <w:szCs w:val="32"/>
        </w:rPr>
      </w:pPr>
      <w:r>
        <w:rPr>
          <w:rFonts w:hint="eastAsia" w:ascii="FangSong_GB2312" w:hAnsi="仿宋" w:eastAsia="FangSong_GB2312"/>
          <w:b/>
          <w:color w:val="333333"/>
          <w:sz w:val="32"/>
          <w:szCs w:val="32"/>
        </w:rPr>
        <w:t>——支持打好精准</w:t>
      </w:r>
      <w:r>
        <w:rPr>
          <w:rFonts w:hint="eastAsia" w:ascii="FangSong_GB2312" w:hAnsi="仿宋" w:eastAsia="FangSong_GB2312"/>
          <w:b/>
          <w:sz w:val="32"/>
          <w:szCs w:val="32"/>
        </w:rPr>
        <w:t>脱贫攻坚战.</w:t>
      </w:r>
      <w:r>
        <w:rPr>
          <w:rFonts w:hint="eastAsia" w:ascii="FangSong_GB2312" w:hAnsi="仿宋" w:eastAsia="FangSong_GB2312" w:cs="宋体"/>
          <w:color w:val="000000" w:themeColor="text1"/>
          <w:kern w:val="0"/>
          <w:sz w:val="32"/>
          <w:szCs w:val="32"/>
          <w14:textFill>
            <w14:solidFill>
              <w14:schemeClr w14:val="tx1"/>
            </w14:solidFill>
          </w14:textFill>
        </w:rPr>
        <w:t xml:space="preserve"> </w:t>
      </w:r>
      <w:r>
        <w:rPr>
          <w:rFonts w:hint="eastAsia" w:ascii="FangSong_GB2312" w:hAnsi="仿宋" w:eastAsia="FangSong_GB2312" w:cs="仿宋"/>
          <w:bCs/>
          <w:sz w:val="32"/>
          <w:szCs w:val="32"/>
        </w:rPr>
        <w:t>“十三五”期间，绥宁县财政部门认真落实精准扶贫精准脱贫基本方略，五年累计统筹整合涉农资金12亿元、县本级财政投入扶贫资金3.8亿元，在农业生产发展、农村基础设施建设等领域精准安排扶贫项目资金。2018年，我县率先在全省进行扶贫资金动态监控建设改革试点，顺利完成对15家县直部门和16个乡镇的扶贫项目资金绩效目标申报，填报绩效目标项目76类，项目1025个。我局荣获全省扶贫资金动态监控平台建设工作先进部位和扶贫资金动态监控绩效管理工作先进单位。</w:t>
      </w:r>
    </w:p>
    <w:p>
      <w:pPr>
        <w:widowControl/>
        <w:shd w:val="clear" w:color="auto" w:fill="FFFFFF"/>
        <w:adjustRightInd w:val="0"/>
        <w:snapToGrid w:val="0"/>
        <w:spacing w:line="600" w:lineRule="exact"/>
        <w:ind w:firstLine="643" w:firstLineChars="200"/>
        <w:rPr>
          <w:rFonts w:ascii="FangSong_GB2312" w:hAnsi="仿宋" w:eastAsia="FangSong_GB2312"/>
          <w:b/>
          <w:sz w:val="32"/>
          <w:szCs w:val="32"/>
        </w:rPr>
      </w:pPr>
      <w:r>
        <w:rPr>
          <w:rFonts w:hint="eastAsia" w:ascii="FangSong_GB2312" w:hAnsi="仿宋" w:eastAsia="FangSong_GB2312" w:cs="仿宋"/>
          <w:b/>
          <w:sz w:val="32"/>
          <w:szCs w:val="32"/>
        </w:rPr>
        <w:t>——支持打好污染防治攻坚战。</w:t>
      </w:r>
      <w:r>
        <w:rPr>
          <w:rFonts w:hint="eastAsia" w:ascii="FangSong_GB2312" w:hAnsi="仿宋" w:eastAsia="FangSong_GB2312" w:cs="宋体"/>
          <w:color w:val="000000" w:themeColor="text1"/>
          <w:kern w:val="0"/>
          <w:sz w:val="32"/>
          <w:szCs w:val="32"/>
          <w14:textFill>
            <w14:solidFill>
              <w14:schemeClr w14:val="tx1"/>
            </w14:solidFill>
          </w14:textFill>
        </w:rPr>
        <w:t>“十三五”期间，</w:t>
      </w:r>
      <w:r>
        <w:rPr>
          <w:rFonts w:hint="eastAsia" w:ascii="FangSong_GB2312" w:hAnsi="仿宋" w:eastAsia="FangSong_GB2312" w:cs="宋体"/>
          <w:color w:val="333333"/>
          <w:kern w:val="0"/>
          <w:sz w:val="32"/>
          <w:szCs w:val="32"/>
        </w:rPr>
        <w:t>绥宁</w:t>
      </w:r>
      <w:r>
        <w:rPr>
          <w:rFonts w:hint="eastAsia" w:ascii="FangSong_GB2312" w:hAnsi="仿宋" w:eastAsia="FangSong_GB2312" w:cs="宋体"/>
          <w:color w:val="000000" w:themeColor="text1"/>
          <w:kern w:val="0"/>
          <w:sz w:val="32"/>
          <w:szCs w:val="32"/>
          <w14:textFill>
            <w14:solidFill>
              <w14:schemeClr w14:val="tx1"/>
            </w14:solidFill>
          </w14:textFill>
        </w:rPr>
        <w:t>县</w:t>
      </w:r>
      <w:r>
        <w:rPr>
          <w:rFonts w:hint="eastAsia" w:ascii="FangSong_GB2312" w:hAnsi="仿宋" w:eastAsia="FangSong_GB2312"/>
          <w:sz w:val="32"/>
          <w:szCs w:val="32"/>
        </w:rPr>
        <w:t>全面践行绿水青山就是金山银山的理念，</w:t>
      </w:r>
      <w:r>
        <w:rPr>
          <w:rFonts w:hint="eastAsia" w:ascii="FangSong_GB2312" w:hAnsi="仿宋" w:eastAsia="FangSong_GB2312"/>
          <w:color w:val="333333"/>
          <w:sz w:val="32"/>
          <w:szCs w:val="32"/>
          <w:shd w:val="clear" w:color="auto" w:fill="FFFFFF"/>
        </w:rPr>
        <w:t>统筹增量和存量</w:t>
      </w:r>
      <w:r>
        <w:rPr>
          <w:rFonts w:hint="eastAsia" w:ascii="FangSong_GB2312" w:hAnsi="仿宋" w:eastAsia="FangSong_GB2312" w:cs="仿宋"/>
          <w:bCs/>
          <w:sz w:val="32"/>
          <w:szCs w:val="32"/>
        </w:rPr>
        <w:t>，五年累计统筹安排4.14亿元用于污染防治重点工作，用财政的“真金白银”护好绥宁大地</w:t>
      </w:r>
      <w:r>
        <w:rPr>
          <w:rFonts w:hint="eastAsia" w:ascii="FangSong_GB2312" w:hAnsi="仿宋" w:eastAsia="FangSong_GB2312"/>
          <w:sz w:val="32"/>
          <w:szCs w:val="32"/>
        </w:rPr>
        <w:t>的绿水青山</w:t>
      </w:r>
      <w:r>
        <w:rPr>
          <w:rFonts w:hint="eastAsia" w:ascii="FangSong_GB2312" w:hAnsi="仿宋" w:eastAsia="FangSong_GB2312"/>
          <w:color w:val="333333"/>
          <w:sz w:val="32"/>
          <w:szCs w:val="32"/>
          <w:shd w:val="clear" w:color="auto" w:fill="FFFFFF"/>
        </w:rPr>
        <w:t>。</w:t>
      </w:r>
      <w:r>
        <w:rPr>
          <w:rFonts w:hint="eastAsia" w:ascii="FangSong_GB2312" w:hAnsi="仿宋" w:eastAsia="FangSong_GB2312"/>
          <w:sz w:val="32"/>
          <w:szCs w:val="32"/>
        </w:rPr>
        <w:t>深入开展</w:t>
      </w:r>
      <w:r>
        <w:rPr>
          <w:rFonts w:hint="eastAsia" w:ascii="FangSong_GB2312" w:hAnsi="仿宋" w:eastAsia="FangSong_GB2312"/>
          <w:color w:val="333333"/>
          <w:sz w:val="32"/>
          <w:szCs w:val="32"/>
          <w:shd w:val="clear" w:color="auto" w:fill="FFFFFF"/>
        </w:rPr>
        <w:t>大气、水、土壤三项</w:t>
      </w:r>
      <w:r>
        <w:rPr>
          <w:rFonts w:hint="eastAsia" w:ascii="FangSong_GB2312" w:hAnsi="仿宋" w:eastAsia="FangSong_GB2312"/>
          <w:sz w:val="32"/>
          <w:szCs w:val="32"/>
        </w:rPr>
        <w:t>污染防治专项行动，支持巩固森林生态优势、</w:t>
      </w:r>
      <w:r>
        <w:rPr>
          <w:rFonts w:hint="eastAsia" w:ascii="FangSong_GB2312" w:hAnsi="仿宋" w:eastAsia="FangSong_GB2312"/>
          <w:color w:val="333333"/>
          <w:sz w:val="32"/>
          <w:szCs w:val="32"/>
          <w:shd w:val="clear" w:color="auto" w:fill="FFFFFF"/>
        </w:rPr>
        <w:t>打赢蓝天保卫战、</w:t>
      </w:r>
      <w:r>
        <w:rPr>
          <w:rFonts w:hint="eastAsia" w:ascii="FangSong_GB2312" w:hAnsi="仿宋" w:eastAsia="FangSong_GB2312"/>
          <w:sz w:val="32"/>
          <w:szCs w:val="32"/>
        </w:rPr>
        <w:t>实施</w:t>
      </w:r>
      <w:r>
        <w:rPr>
          <w:rFonts w:hint="eastAsia" w:ascii="FangSong_GB2312" w:hAnsi="仿宋" w:eastAsia="FangSong_GB2312"/>
          <w:color w:val="333333"/>
          <w:sz w:val="32"/>
          <w:szCs w:val="32"/>
          <w:shd w:val="clear" w:color="auto" w:fill="FFFFFF"/>
        </w:rPr>
        <w:t>水源地保护、农业农村污染治理攻坚战等重大战役，</w:t>
      </w:r>
      <w:r>
        <w:rPr>
          <w:rFonts w:hint="eastAsia" w:ascii="FangSong_GB2312" w:hAnsi="仿宋" w:eastAsia="FangSong_GB2312"/>
          <w:sz w:val="32"/>
          <w:szCs w:val="32"/>
        </w:rPr>
        <w:t>推进绿色经济发展。</w:t>
      </w:r>
    </w:p>
    <w:p>
      <w:pPr>
        <w:adjustRightInd w:val="0"/>
        <w:snapToGrid w:val="0"/>
        <w:spacing w:beforeLines="50" w:line="620" w:lineRule="exact"/>
        <w:ind w:firstLine="630" w:firstLineChars="196"/>
        <w:rPr>
          <w:rFonts w:ascii="楷体" w:hAnsi="楷体" w:eastAsia="楷体"/>
          <w:b/>
          <w:sz w:val="32"/>
          <w:szCs w:val="32"/>
        </w:rPr>
      </w:pPr>
      <w:r>
        <w:rPr>
          <w:rFonts w:hint="eastAsia" w:ascii="楷体" w:hAnsi="楷体" w:eastAsia="楷体"/>
          <w:b/>
          <w:sz w:val="32"/>
          <w:szCs w:val="32"/>
        </w:rPr>
        <w:t>5、财政改革不断深化，管理效益持续提高</w:t>
      </w:r>
    </w:p>
    <w:p>
      <w:pPr>
        <w:autoSpaceDE w:val="0"/>
        <w:autoSpaceDN w:val="0"/>
        <w:adjustRightInd w:val="0"/>
        <w:ind w:firstLine="643" w:firstLineChars="200"/>
        <w:rPr>
          <w:rFonts w:hint="eastAsia" w:ascii="FangSong_GB2312" w:hAnsi="仿宋" w:eastAsia="FangSong_GB2312" w:cs="FangSong_GB2312"/>
          <w:bCs/>
          <w:color w:val="auto"/>
          <w:sz w:val="32"/>
          <w:szCs w:val="32"/>
          <w:lang w:val="zh-CN"/>
        </w:rPr>
      </w:pPr>
      <w:r>
        <w:rPr>
          <w:rFonts w:hint="eastAsia" w:ascii="FangSong_GB2312" w:hAnsi="仿宋" w:eastAsia="FangSong_GB2312"/>
          <w:b/>
          <w:color w:val="000000" w:themeColor="text1"/>
          <w:sz w:val="32"/>
          <w:szCs w:val="32"/>
          <w14:textFill>
            <w14:solidFill>
              <w14:schemeClr w14:val="tx1"/>
            </w14:solidFill>
          </w14:textFill>
        </w:rPr>
        <w:t>——</w:t>
      </w:r>
      <w:r>
        <w:rPr>
          <w:rStyle w:val="27"/>
          <w:rFonts w:hint="eastAsia" w:ascii="FangSong_GB2312" w:hAnsi="仿宋" w:eastAsia="FangSong_GB2312"/>
          <w:b/>
          <w:bCs/>
          <w:color w:val="auto"/>
          <w:sz w:val="32"/>
          <w:szCs w:val="32"/>
          <w:lang w:eastAsia="zh-CN"/>
        </w:rPr>
        <w:t>深化预算管理。</w:t>
      </w:r>
      <w:r>
        <w:rPr>
          <w:rFonts w:hint="eastAsia" w:ascii="仿宋_GB2312" w:hAnsi="宋体" w:eastAsia="仿宋_GB2312" w:cs="Arial"/>
          <w:sz w:val="30"/>
          <w:szCs w:val="30"/>
        </w:rPr>
        <w:t>严格</w:t>
      </w:r>
      <w:r>
        <w:rPr>
          <w:rFonts w:hint="eastAsia" w:ascii="仿宋_GB2312" w:eastAsia="仿宋_GB2312"/>
          <w:color w:val="000000"/>
          <w:sz w:val="30"/>
          <w:szCs w:val="30"/>
        </w:rPr>
        <w:t>按照</w:t>
      </w:r>
      <w:r>
        <w:rPr>
          <w:rFonts w:hint="eastAsia" w:ascii="仿宋_GB2312" w:hAnsi="宋体" w:eastAsia="仿宋_GB2312"/>
          <w:color w:val="000000"/>
          <w:sz w:val="30"/>
          <w:szCs w:val="30"/>
        </w:rPr>
        <w:t>预算法要求，</w:t>
      </w:r>
      <w:r>
        <w:rPr>
          <w:rFonts w:hint="eastAsia" w:ascii="仿宋_GB2312" w:hAnsi="宋体" w:eastAsia="仿宋_GB2312" w:cs="Arial"/>
          <w:sz w:val="30"/>
          <w:szCs w:val="30"/>
        </w:rPr>
        <w:t>坚持积极稳妥、统筹兼顾、全面完整、收支平衡的原则，努力实现“三保一促”</w:t>
      </w:r>
      <w:r>
        <w:rPr>
          <w:rFonts w:hint="eastAsia" w:ascii="FangSong_GB2312" w:hAnsi="仿宋" w:eastAsia="FangSong_GB2312" w:cs="FangSong_GB2312"/>
          <w:b/>
          <w:bCs/>
          <w:color w:val="auto"/>
          <w:sz w:val="32"/>
          <w:szCs w:val="32"/>
          <w:lang w:val="zh-CN"/>
        </w:rPr>
        <w:t>。</w:t>
      </w:r>
      <w:r>
        <w:rPr>
          <w:rFonts w:hint="eastAsia" w:ascii="仿宋_GB2312" w:hAnsi="宋体" w:eastAsia="仿宋_GB2312"/>
          <w:color w:val="000000"/>
          <w:sz w:val="30"/>
          <w:szCs w:val="30"/>
        </w:rPr>
        <w:t>制定定员定额标准</w:t>
      </w:r>
      <w:r>
        <w:rPr>
          <w:rFonts w:hint="eastAsia" w:ascii="仿宋_GB2312" w:hAnsi="宋体" w:eastAsia="仿宋_GB2312"/>
          <w:color w:val="000000"/>
          <w:sz w:val="30"/>
          <w:szCs w:val="30"/>
          <w:lang w:eastAsia="zh-CN"/>
        </w:rPr>
        <w:t>、</w:t>
      </w:r>
      <w:r>
        <w:rPr>
          <w:rFonts w:hint="eastAsia" w:ascii="仿宋_GB2312" w:hAnsi="宋体" w:eastAsia="仿宋_GB2312"/>
          <w:color w:val="000000"/>
          <w:sz w:val="30"/>
          <w:szCs w:val="30"/>
        </w:rPr>
        <w:t>把好项目支出关</w:t>
      </w:r>
      <w:r>
        <w:rPr>
          <w:rFonts w:hint="eastAsia" w:ascii="仿宋_GB2312" w:hAnsi="宋体" w:eastAsia="仿宋_GB2312"/>
          <w:color w:val="000000"/>
          <w:sz w:val="30"/>
          <w:szCs w:val="30"/>
          <w:lang w:eastAsia="zh-CN"/>
        </w:rPr>
        <w:t>，</w:t>
      </w:r>
      <w:r>
        <w:rPr>
          <w:rFonts w:hint="eastAsia" w:ascii="仿宋_GB2312" w:hAnsi="宋体" w:eastAsia="仿宋_GB2312"/>
          <w:color w:val="000000"/>
          <w:sz w:val="30"/>
          <w:szCs w:val="30"/>
        </w:rPr>
        <w:t>实现了部门预算统筹预算内外财力，对单位收支的全覆盖。</w:t>
      </w:r>
      <w:r>
        <w:rPr>
          <w:rFonts w:hint="eastAsia" w:ascii="FangSong_GB2312" w:hAnsi="仿宋" w:eastAsia="FangSong_GB2312" w:cs="FangSong_GB2312"/>
          <w:bCs/>
          <w:color w:val="auto"/>
          <w:sz w:val="32"/>
          <w:szCs w:val="32"/>
          <w:lang w:val="zh-CN"/>
        </w:rPr>
        <w:t>继续推进预算、“三公”经费和涉及民生的重大专项资金安排情况公开工作，</w:t>
      </w:r>
      <w:r>
        <w:rPr>
          <w:rFonts w:hint="eastAsia" w:ascii="FangSong_GB2312" w:hAnsi="仿宋" w:eastAsia="FangSong_GB2312"/>
          <w:color w:val="auto"/>
          <w:sz w:val="32"/>
          <w:szCs w:val="32"/>
        </w:rPr>
        <w:t>连续4年获全省财政系统信息宣传工作先进单位</w:t>
      </w:r>
      <w:r>
        <w:rPr>
          <w:rFonts w:hint="eastAsia" w:ascii="FangSong_GB2312" w:hAnsi="仿宋" w:eastAsia="FangSong_GB2312" w:cs="FangSong_GB2312"/>
          <w:bCs/>
          <w:color w:val="auto"/>
          <w:sz w:val="32"/>
          <w:szCs w:val="32"/>
          <w:lang w:val="zh-CN"/>
        </w:rPr>
        <w:t>。</w:t>
      </w:r>
    </w:p>
    <w:p>
      <w:pPr>
        <w:autoSpaceDE w:val="0"/>
        <w:autoSpaceDN w:val="0"/>
        <w:adjustRightInd w:val="0"/>
        <w:ind w:firstLine="643" w:firstLineChars="200"/>
        <w:rPr>
          <w:rFonts w:hint="eastAsia" w:ascii="FangSong_GB2312" w:hAnsi="仿宋" w:eastAsia="FangSong_GB2312" w:cs="FangSong_GB2312"/>
          <w:color w:val="auto"/>
          <w:sz w:val="32"/>
          <w:szCs w:val="32"/>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cs="FangSong_GB2312"/>
          <w:b/>
          <w:bCs/>
          <w:color w:val="auto"/>
          <w:kern w:val="0"/>
          <w:sz w:val="32"/>
          <w:szCs w:val="32"/>
        </w:rPr>
        <w:t>国库改革稳步推进。</w:t>
      </w:r>
      <w:r>
        <w:rPr>
          <w:rFonts w:hint="eastAsia" w:ascii="FangSong_GB2312" w:hAnsi="仿宋" w:eastAsia="FangSong_GB2312" w:cs="FangSong_GB2312"/>
          <w:color w:val="auto"/>
          <w:sz w:val="32"/>
          <w:szCs w:val="32"/>
        </w:rPr>
        <w:t>国库集中支付按照“横向到边，纵向到底”的要求，全县152个一级预算单位全部实行国库集中支付制度。</w:t>
      </w:r>
    </w:p>
    <w:p>
      <w:pPr>
        <w:autoSpaceDE w:val="0"/>
        <w:autoSpaceDN w:val="0"/>
        <w:adjustRightInd w:val="0"/>
        <w:ind w:firstLine="643" w:firstLineChars="200"/>
        <w:rPr>
          <w:rFonts w:hint="eastAsia" w:ascii="FangSong_GB2312" w:hAnsi="仿宋" w:eastAsia="FangSong_GB2312"/>
          <w:color w:val="auto"/>
          <w:sz w:val="32"/>
          <w:szCs w:val="32"/>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cs="FangSong_GB2312"/>
          <w:b/>
          <w:color w:val="auto"/>
          <w:sz w:val="32"/>
          <w:szCs w:val="32"/>
          <w:lang w:eastAsia="zh-CN"/>
        </w:rPr>
        <w:t>严格项目管理</w:t>
      </w:r>
      <w:r>
        <w:rPr>
          <w:rFonts w:hint="eastAsia" w:ascii="FangSong_GB2312" w:hAnsi="仿宋" w:eastAsia="FangSong_GB2312" w:cs="FangSong_GB2312"/>
          <w:b/>
          <w:color w:val="auto"/>
          <w:sz w:val="32"/>
          <w:szCs w:val="32"/>
        </w:rPr>
        <w:t>。</w:t>
      </w:r>
      <w:r>
        <w:rPr>
          <w:rFonts w:hint="eastAsia" w:ascii="FangSong_GB2312" w:hAnsi="仿宋" w:eastAsia="FangSong_GB2312" w:cs="FangSong_GB2312"/>
          <w:b w:val="0"/>
          <w:bCs/>
          <w:color w:val="auto"/>
          <w:sz w:val="32"/>
          <w:szCs w:val="32"/>
          <w:lang w:eastAsia="zh-CN"/>
        </w:rPr>
        <w:t>相继拟稿</w:t>
      </w:r>
      <w:r>
        <w:rPr>
          <w:rFonts w:hint="eastAsia" w:ascii="仿宋" w:hAnsi="仿宋" w:eastAsia="仿宋" w:cs="仿宋"/>
          <w:sz w:val="32"/>
          <w:szCs w:val="32"/>
        </w:rPr>
        <w:t>出台《关于进一步加强政府投资项目审批及概算管理有关事项的通知》（绥政办发〔2019〕20号）、《关于印发&lt;绥宁县进一步规范政府投资项目管理规定（试行）&gt;的通知》（绥政发〔2020〕1号）</w:t>
      </w:r>
      <w:r>
        <w:rPr>
          <w:rFonts w:hint="eastAsia" w:ascii="仿宋" w:hAnsi="仿宋" w:eastAsia="仿宋" w:cs="仿宋"/>
          <w:sz w:val="32"/>
          <w:szCs w:val="32"/>
          <w:lang w:eastAsia="zh-CN"/>
        </w:rPr>
        <w:t>。坚持投资评审制度，</w:t>
      </w:r>
      <w:r>
        <w:rPr>
          <w:rFonts w:hint="eastAsia" w:ascii="FangSong_GB2312" w:hAnsi="仿宋" w:eastAsia="FangSong_GB2312"/>
          <w:color w:val="auto"/>
          <w:sz w:val="32"/>
          <w:szCs w:val="32"/>
        </w:rPr>
        <w:t>实施“先评审后招标”控制政府采购成本</w:t>
      </w:r>
      <w:r>
        <w:rPr>
          <w:rFonts w:hint="eastAsia" w:ascii="FangSong_GB2312" w:hAnsi="仿宋" w:eastAsia="FangSong_GB2312" w:cs="Tahoma"/>
          <w:color w:val="auto"/>
          <w:sz w:val="32"/>
          <w:szCs w:val="32"/>
        </w:rPr>
        <w:t>，</w:t>
      </w:r>
      <w:r>
        <w:rPr>
          <w:rFonts w:hint="eastAsia" w:ascii="FangSong_GB2312" w:hAnsi="仿宋" w:eastAsia="FangSong_GB2312" w:cs="Tahoma"/>
          <w:color w:val="auto"/>
          <w:sz w:val="32"/>
          <w:szCs w:val="32"/>
          <w:lang w:eastAsia="zh-CN"/>
        </w:rPr>
        <w:t>五</w:t>
      </w:r>
      <w:r>
        <w:rPr>
          <w:rFonts w:hint="eastAsia" w:ascii="FangSong_GB2312" w:hAnsi="仿宋" w:eastAsia="FangSong_GB2312"/>
          <w:color w:val="auto"/>
          <w:sz w:val="32"/>
          <w:szCs w:val="32"/>
        </w:rPr>
        <w:t>年间共审查政府投资项目</w:t>
      </w:r>
      <w:r>
        <w:rPr>
          <w:rFonts w:hint="eastAsia" w:ascii="FangSong_GB2312" w:hAnsi="仿宋" w:eastAsia="FangSong_GB2312"/>
          <w:color w:val="auto"/>
          <w:sz w:val="32"/>
          <w:szCs w:val="32"/>
          <w:lang w:val="en-US" w:eastAsia="zh-CN"/>
        </w:rPr>
        <w:t>3609</w:t>
      </w:r>
      <w:r>
        <w:rPr>
          <w:rFonts w:hint="eastAsia" w:ascii="FangSong_GB2312" w:hAnsi="仿宋" w:eastAsia="FangSong_GB2312"/>
          <w:color w:val="auto"/>
          <w:sz w:val="32"/>
          <w:szCs w:val="32"/>
        </w:rPr>
        <w:t>个，审减金额</w:t>
      </w:r>
      <w:r>
        <w:rPr>
          <w:rFonts w:hint="eastAsia" w:ascii="FangSong_GB2312" w:hAnsi="仿宋" w:eastAsia="FangSong_GB2312"/>
          <w:color w:val="auto"/>
          <w:sz w:val="32"/>
          <w:szCs w:val="32"/>
          <w:lang w:val="en-US" w:eastAsia="zh-CN"/>
        </w:rPr>
        <w:t>6.93</w:t>
      </w:r>
      <w:r>
        <w:rPr>
          <w:rFonts w:hint="eastAsia" w:ascii="FangSong_GB2312" w:hAnsi="仿宋" w:eastAsia="FangSong_GB2312"/>
          <w:color w:val="auto"/>
          <w:sz w:val="32"/>
          <w:szCs w:val="32"/>
        </w:rPr>
        <w:t>亿元，审减率</w:t>
      </w:r>
      <w:r>
        <w:rPr>
          <w:rFonts w:hint="eastAsia" w:ascii="FangSong_GB2312" w:hAnsi="仿宋" w:eastAsia="FangSong_GB2312"/>
          <w:color w:val="auto"/>
          <w:sz w:val="32"/>
          <w:szCs w:val="32"/>
          <w:lang w:val="en-US" w:eastAsia="zh-CN"/>
        </w:rPr>
        <w:t>17.04</w:t>
      </w:r>
      <w:r>
        <w:rPr>
          <w:rFonts w:hint="eastAsia" w:ascii="FangSong_GB2312" w:hAnsi="仿宋" w:eastAsia="FangSong_GB2312"/>
          <w:color w:val="auto"/>
          <w:sz w:val="32"/>
          <w:szCs w:val="32"/>
        </w:rPr>
        <w:t>%。</w:t>
      </w:r>
    </w:p>
    <w:p>
      <w:pPr>
        <w:autoSpaceDE w:val="0"/>
        <w:autoSpaceDN w:val="0"/>
        <w:adjustRightInd w:val="0"/>
        <w:ind w:firstLine="643" w:firstLineChars="200"/>
        <w:rPr>
          <w:rFonts w:hint="eastAsia" w:ascii="FangSong_GB2312" w:hAnsi="仿宋" w:eastAsia="FangSong_GB2312"/>
          <w:b/>
          <w:bCs/>
          <w:color w:val="auto"/>
          <w:sz w:val="32"/>
          <w:szCs w:val="32"/>
          <w:shd w:val="clear" w:color="auto" w:fill="FFFFFF"/>
          <w:lang w:eastAsia="zh-CN"/>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bCs/>
          <w:color w:val="auto"/>
          <w:sz w:val="32"/>
          <w:szCs w:val="32"/>
          <w:lang w:eastAsia="zh-CN"/>
        </w:rPr>
        <w:t>抓实绩效评价。</w:t>
      </w:r>
      <w:r>
        <w:rPr>
          <w:rFonts w:hint="eastAsia" w:ascii="仿宋" w:hAnsi="仿宋" w:eastAsia="仿宋" w:cs="仿宋_GB2312"/>
          <w:bCs/>
          <w:sz w:val="32"/>
          <w:szCs w:val="32"/>
          <w:lang w:val="zh-CN"/>
        </w:rPr>
        <w:t>绩效目标与部门预算同时申报，</w:t>
      </w:r>
      <w:r>
        <w:rPr>
          <w:rFonts w:hint="eastAsia" w:ascii="仿宋" w:hAnsi="仿宋" w:eastAsia="仿宋" w:cs="仿宋_GB2312"/>
          <w:bCs/>
          <w:sz w:val="32"/>
          <w:szCs w:val="32"/>
        </w:rPr>
        <w:t>对不按要求申报或绩效目标达不到要求的，不予拨付财政资金</w:t>
      </w:r>
      <w:r>
        <w:rPr>
          <w:rFonts w:hint="eastAsia" w:ascii="仿宋" w:hAnsi="仿宋" w:eastAsia="仿宋" w:cs="仿宋_GB2312"/>
          <w:bCs/>
          <w:sz w:val="32"/>
          <w:szCs w:val="32"/>
          <w:lang w:val="zh-CN"/>
        </w:rPr>
        <w:t>。四本预算全部纳入绩效管理范畴。开展第三方机构</w:t>
      </w:r>
      <w:r>
        <w:rPr>
          <w:rFonts w:hint="eastAsia" w:ascii="仿宋" w:hAnsi="仿宋" w:eastAsia="仿宋" w:cs="仿宋_GB2312"/>
          <w:sz w:val="32"/>
          <w:szCs w:val="32"/>
        </w:rPr>
        <w:t>对</w:t>
      </w:r>
      <w:r>
        <w:rPr>
          <w:rFonts w:hint="eastAsia" w:ascii="仿宋" w:hAnsi="仿宋" w:eastAsia="仿宋" w:cs="仿宋_GB2312"/>
          <w:sz w:val="32"/>
          <w:szCs w:val="32"/>
          <w:lang w:eastAsia="zh-CN"/>
        </w:rPr>
        <w:t>上</w:t>
      </w:r>
      <w:r>
        <w:rPr>
          <w:rFonts w:hint="eastAsia" w:ascii="仿宋" w:hAnsi="仿宋" w:eastAsia="仿宋" w:cs="仿宋_GB2312"/>
          <w:sz w:val="32"/>
          <w:szCs w:val="32"/>
        </w:rPr>
        <w:t>年度部分扶贫资金项目、重大民生项目、基本建设项目和单位整体支出等项目实施财政复评。</w:t>
      </w:r>
      <w:r>
        <w:rPr>
          <w:rFonts w:hint="eastAsia" w:ascii="仿宋" w:hAnsi="仿宋" w:eastAsia="仿宋" w:cs="仿宋_GB2312"/>
          <w:bCs/>
          <w:sz w:val="32"/>
          <w:szCs w:val="32"/>
          <w:lang w:val="zh-CN"/>
        </w:rPr>
        <w:t>强化评价结果运用，对当年财政复评结果等级为“优”的单位，给予5万元奖励经费，对复评结果等级为“中”的个单位核减5万元工作经费。</w:t>
      </w:r>
    </w:p>
    <w:p>
      <w:pPr>
        <w:adjustRightInd w:val="0"/>
        <w:snapToGrid w:val="0"/>
        <w:spacing w:beforeLines="50" w:line="600" w:lineRule="exact"/>
        <w:ind w:firstLine="630" w:firstLineChars="196"/>
        <w:rPr>
          <w:rFonts w:ascii="楷体" w:hAnsi="楷体" w:eastAsia="楷体"/>
          <w:b/>
          <w:sz w:val="32"/>
          <w:szCs w:val="32"/>
        </w:rPr>
      </w:pPr>
      <w:r>
        <w:rPr>
          <w:rFonts w:hint="eastAsia" w:ascii="楷体" w:hAnsi="楷体" w:eastAsia="楷体"/>
          <w:b/>
          <w:sz w:val="32"/>
          <w:szCs w:val="32"/>
        </w:rPr>
        <w:t>6、队伍建设切实加强，服务水平得到提高</w:t>
      </w:r>
    </w:p>
    <w:p>
      <w:pPr>
        <w:adjustRightInd w:val="0"/>
        <w:snapToGrid w:val="0"/>
        <w:spacing w:line="600" w:lineRule="exact"/>
        <w:ind w:firstLine="643" w:firstLineChars="200"/>
        <w:rPr>
          <w:rFonts w:hint="eastAsia" w:ascii="FangSong_GB2312" w:hAnsi="仿宋" w:eastAsia="FangSong_GB2312"/>
          <w:sz w:val="32"/>
          <w:szCs w:val="32"/>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sz w:val="32"/>
          <w:szCs w:val="32"/>
        </w:rPr>
        <w:t>强化管理抓作风，提高干部执行力。</w:t>
      </w:r>
      <w:r>
        <w:rPr>
          <w:rFonts w:hint="eastAsia" w:ascii="FangSong_GB2312" w:hAnsi="仿宋" w:eastAsia="FangSong_GB2312"/>
          <w:sz w:val="32"/>
          <w:szCs w:val="32"/>
        </w:rPr>
        <w:t>加强部门之间协调，梳理审批事项，优化办理流程，减少办事环节，提高办事效率，提升行政服务效能。</w:t>
      </w:r>
    </w:p>
    <w:p>
      <w:pPr>
        <w:adjustRightInd w:val="0"/>
        <w:snapToGrid w:val="0"/>
        <w:spacing w:line="600" w:lineRule="exact"/>
        <w:ind w:firstLine="643" w:firstLineChars="200"/>
        <w:rPr>
          <w:rFonts w:hint="eastAsia" w:ascii="FangSong_GB2312" w:hAnsi="仿宋" w:eastAsia="FangSong_GB2312"/>
          <w:sz w:val="32"/>
          <w:szCs w:val="32"/>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sz w:val="32"/>
          <w:szCs w:val="32"/>
        </w:rPr>
        <w:t>夯实基础强堡垒，提高队伍战斗力。</w:t>
      </w:r>
      <w:r>
        <w:rPr>
          <w:rFonts w:hint="eastAsia" w:ascii="FangSong_GB2312" w:hAnsi="仿宋" w:eastAsia="FangSong_GB2312"/>
          <w:sz w:val="32"/>
          <w:szCs w:val="32"/>
        </w:rPr>
        <w:t>结合“两学一做”、“不忘初心、牢记使命”主题教育、“岗位练兵计划”，开展理想信念、职业道德和专业技能的学习培训。</w:t>
      </w:r>
    </w:p>
    <w:p>
      <w:pPr>
        <w:adjustRightInd w:val="0"/>
        <w:snapToGrid w:val="0"/>
        <w:spacing w:line="600" w:lineRule="exact"/>
        <w:ind w:firstLine="643" w:firstLineChars="200"/>
        <w:rPr>
          <w:rFonts w:ascii="FangSong_GB2312" w:hAnsi="仿宋" w:eastAsia="FangSong_GB2312"/>
          <w:color w:val="333333"/>
          <w:sz w:val="32"/>
          <w:szCs w:val="32"/>
        </w:rPr>
      </w:pPr>
      <w:r>
        <w:rPr>
          <w:rFonts w:hint="eastAsia" w:ascii="FangSong_GB2312" w:hAnsi="仿宋" w:eastAsia="FangSong_GB2312"/>
          <w:b/>
          <w:color w:val="000000" w:themeColor="text1"/>
          <w:sz w:val="32"/>
          <w:szCs w:val="32"/>
          <w14:textFill>
            <w14:solidFill>
              <w14:schemeClr w14:val="tx1"/>
            </w14:solidFill>
          </w14:textFill>
        </w:rPr>
        <w:t>——</w:t>
      </w:r>
      <w:r>
        <w:rPr>
          <w:rFonts w:hint="eastAsia" w:ascii="FangSong_GB2312" w:hAnsi="仿宋" w:eastAsia="FangSong_GB2312"/>
          <w:b/>
          <w:sz w:val="32"/>
          <w:szCs w:val="32"/>
        </w:rPr>
        <w:t>清正廉洁树形象，提高队伍免疫力。</w:t>
      </w:r>
      <w:r>
        <w:rPr>
          <w:rFonts w:hint="eastAsia" w:ascii="FangSong_GB2312" w:hAnsi="仿宋" w:eastAsia="FangSong_GB2312"/>
          <w:sz w:val="32"/>
          <w:szCs w:val="32"/>
        </w:rPr>
        <w:t>全面落实党风廉政建设责任制，积极探索“标本兼治、惩防并举”的措施和办法。确保了财政干部政治生命和财政资金“两个安全”。“十三五”期间，全县财政部门立足实际，深化改革，开拓创新，各方面工作都取得了显著成绩。我局获2017年度市县财政管理工作绩效考核AA级单位和湖南省2018届省级文明单位称号。</w:t>
      </w:r>
    </w:p>
    <w:p>
      <w:pPr>
        <w:widowControl/>
        <w:shd w:val="clear" w:color="auto" w:fill="FFFFFF"/>
        <w:adjustRightInd w:val="0"/>
        <w:snapToGrid w:val="0"/>
        <w:spacing w:beforeLines="50" w:line="600" w:lineRule="exact"/>
        <w:ind w:firstLine="630" w:firstLineChars="196"/>
        <w:jc w:val="left"/>
        <w:outlineLvl w:val="0"/>
        <w:rPr>
          <w:rFonts w:ascii="楷体" w:hAnsi="楷体" w:eastAsia="楷体" w:cs="宋体"/>
          <w:b/>
          <w:color w:val="000000" w:themeColor="text1"/>
          <w:kern w:val="0"/>
          <w:sz w:val="32"/>
          <w:szCs w:val="32"/>
          <w14:textFill>
            <w14:solidFill>
              <w14:schemeClr w14:val="tx1"/>
            </w14:solidFill>
          </w14:textFill>
        </w:rPr>
      </w:pPr>
      <w:r>
        <w:rPr>
          <w:rFonts w:hint="eastAsia" w:ascii="楷体" w:hAnsi="楷体" w:eastAsia="楷体" w:cs="宋体"/>
          <w:b/>
          <w:color w:val="000000" w:themeColor="text1"/>
          <w:kern w:val="0"/>
          <w:sz w:val="32"/>
          <w:szCs w:val="32"/>
          <w14:textFill>
            <w14:solidFill>
              <w14:schemeClr w14:val="tx1"/>
            </w14:solidFill>
          </w14:textFill>
        </w:rPr>
        <w:t>（二）“十四五”财政发展环境</w:t>
      </w:r>
    </w:p>
    <w:p>
      <w:pPr>
        <w:widowControl/>
        <w:adjustRightInd w:val="0"/>
        <w:snapToGrid w:val="0"/>
        <w:spacing w:line="600" w:lineRule="exact"/>
        <w:ind w:firstLine="482"/>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s="宋体"/>
          <w:color w:val="000000" w:themeColor="text1"/>
          <w:kern w:val="0"/>
          <w:sz w:val="32"/>
          <w:szCs w:val="32"/>
          <w14:textFill>
            <w14:solidFill>
              <w14:schemeClr w14:val="tx1"/>
            </w14:solidFill>
          </w14:textFill>
        </w:rPr>
        <w:t>“十四五”时期，国际间大国博弈加剧、世界经济秩序重塑，面</w:t>
      </w:r>
      <w:r>
        <w:rPr>
          <w:rFonts w:hint="eastAsia" w:ascii="FangSong_GB2312" w:hAnsi="仿宋" w:eastAsia="FangSong_GB2312"/>
          <w:color w:val="000000" w:themeColor="text1"/>
          <w:sz w:val="32"/>
          <w:szCs w:val="32"/>
          <w14:textFill>
            <w14:solidFill>
              <w14:schemeClr w14:val="tx1"/>
            </w14:solidFill>
          </w14:textFill>
        </w:rPr>
        <w:t>对前所未有的压力和冲击，</w:t>
      </w:r>
      <w:r>
        <w:rPr>
          <w:rFonts w:hint="eastAsia" w:ascii="FangSong_GB2312" w:hAnsi="仿宋" w:eastAsia="FangSong_GB2312" w:cs="宋体"/>
          <w:color w:val="000000" w:themeColor="text1"/>
          <w:kern w:val="0"/>
          <w:sz w:val="32"/>
          <w:szCs w:val="32"/>
          <w14:textFill>
            <w14:solidFill>
              <w14:schemeClr w14:val="tx1"/>
            </w14:solidFill>
          </w14:textFill>
        </w:rPr>
        <w:t>国内经济“脱虚向实”艰难推进、产业转型升级迫在眉睫、城市间竞争陷入白热化。</w:t>
      </w:r>
      <w:r>
        <w:rPr>
          <w:rStyle w:val="12"/>
          <w:rFonts w:hint="eastAsia" w:ascii="FangSong_GB2312" w:hAnsi="仿宋" w:eastAsia="FangSong_GB2312"/>
          <w:b w:val="0"/>
          <w:color w:val="000000" w:themeColor="text1"/>
          <w:sz w:val="32"/>
          <w:szCs w:val="32"/>
          <w14:textFill>
            <w14:solidFill>
              <w14:schemeClr w14:val="tx1"/>
            </w14:solidFill>
          </w14:textFill>
        </w:rPr>
        <w:t>稳中求进、砥砺前行是“十四五”</w:t>
      </w:r>
      <w:r>
        <w:rPr>
          <w:rFonts w:hint="eastAsia" w:ascii="FangSong_GB2312" w:hAnsi="仿宋" w:eastAsia="FangSong_GB2312" w:cs="宋体"/>
          <w:color w:val="000000" w:themeColor="text1"/>
          <w:kern w:val="0"/>
          <w:sz w:val="32"/>
          <w:szCs w:val="32"/>
          <w14:textFill>
            <w14:solidFill>
              <w14:schemeClr w14:val="tx1"/>
            </w14:solidFill>
          </w14:textFill>
        </w:rPr>
        <w:t>中国经济发展的主旋律</w:t>
      </w:r>
      <w:r>
        <w:rPr>
          <w:rStyle w:val="12"/>
          <w:rFonts w:hint="eastAsia" w:ascii="FangSong_GB2312" w:hAnsi="仿宋" w:eastAsia="FangSong_GB2312"/>
          <w:b w:val="0"/>
          <w:color w:val="000000" w:themeColor="text1"/>
          <w:sz w:val="32"/>
          <w:szCs w:val="32"/>
          <w14:textFill>
            <w14:solidFill>
              <w14:schemeClr w14:val="tx1"/>
            </w14:solidFill>
          </w14:textFill>
        </w:rPr>
        <w:t>。绥宁县财政工作</w:t>
      </w:r>
      <w:r>
        <w:rPr>
          <w:rFonts w:hint="eastAsia" w:ascii="FangSong_GB2312" w:hAnsi="仿宋" w:eastAsia="FangSong_GB2312"/>
          <w:color w:val="000000" w:themeColor="text1"/>
          <w:sz w:val="32"/>
          <w:szCs w:val="32"/>
          <w14:textFill>
            <w14:solidFill>
              <w14:schemeClr w14:val="tx1"/>
            </w14:solidFill>
          </w14:textFill>
        </w:rPr>
        <w:t>要坚持稳中求进工作总基调，坚持新发展理念，扎实做好“六稳”工作，全面落实“六保”任务，</w:t>
      </w:r>
      <w:r>
        <w:rPr>
          <w:rFonts w:hint="eastAsia" w:ascii="FangSong_GB2312" w:hAnsi="仿宋" w:eastAsia="FangSong_GB2312"/>
          <w:color w:val="000000" w:themeColor="text1"/>
          <w:sz w:val="32"/>
          <w:szCs w:val="32"/>
          <w:lang w:eastAsia="zh-CN"/>
          <w14:textFill>
            <w14:solidFill>
              <w14:schemeClr w14:val="tx1"/>
            </w14:solidFill>
          </w14:textFill>
        </w:rPr>
        <w:t>以建设社会主义现代化强国为根本目标</w:t>
      </w:r>
      <w:r>
        <w:rPr>
          <w:rFonts w:hint="eastAsia" w:ascii="FangSong_GB2312" w:hAnsi="仿宋" w:eastAsia="FangSong_GB2312"/>
          <w:color w:val="000000" w:themeColor="text1"/>
          <w:sz w:val="32"/>
          <w:szCs w:val="32"/>
          <w14:textFill>
            <w14:solidFill>
              <w14:schemeClr w14:val="tx1"/>
            </w14:solidFill>
          </w14:textFill>
        </w:rPr>
        <w:t>，奋力谱写绥宁</w:t>
      </w:r>
      <w:r>
        <w:rPr>
          <w:rStyle w:val="12"/>
          <w:rFonts w:hint="eastAsia" w:ascii="FangSong_GB2312" w:hAnsi="仿宋" w:eastAsia="FangSong_GB2312"/>
          <w:b w:val="0"/>
          <w:color w:val="000000" w:themeColor="text1"/>
          <w:sz w:val="32"/>
          <w:szCs w:val="32"/>
          <w14:textFill>
            <w14:solidFill>
              <w14:schemeClr w14:val="tx1"/>
            </w14:solidFill>
          </w14:textFill>
        </w:rPr>
        <w:t>“十四五”</w:t>
      </w:r>
      <w:r>
        <w:rPr>
          <w:rFonts w:hint="eastAsia" w:ascii="FangSong_GB2312" w:hAnsi="仿宋" w:eastAsia="FangSong_GB2312"/>
          <w:color w:val="000000" w:themeColor="text1"/>
          <w:sz w:val="32"/>
          <w:szCs w:val="32"/>
          <w14:textFill>
            <w14:solidFill>
              <w14:schemeClr w14:val="tx1"/>
            </w14:solidFill>
          </w14:textFill>
        </w:rPr>
        <w:t>追赶超越新篇章。</w:t>
      </w:r>
    </w:p>
    <w:p>
      <w:pPr>
        <w:widowControl/>
        <w:adjustRightInd w:val="0"/>
        <w:snapToGrid w:val="0"/>
        <w:spacing w:beforeLines="50" w:line="600" w:lineRule="exact"/>
        <w:ind w:firstLine="630" w:firstLineChars="196"/>
        <w:rPr>
          <w:rFonts w:ascii="楷体" w:hAnsi="楷体" w:eastAsia="楷体" w:cs="宋体"/>
          <w:b/>
          <w:color w:val="000000" w:themeColor="text1"/>
          <w:kern w:val="0"/>
          <w:sz w:val="32"/>
          <w:szCs w:val="32"/>
          <w14:textFill>
            <w14:solidFill>
              <w14:schemeClr w14:val="tx1"/>
            </w14:solidFill>
          </w14:textFill>
        </w:rPr>
      </w:pPr>
      <w:r>
        <w:rPr>
          <w:rFonts w:hint="eastAsia" w:ascii="楷体" w:hAnsi="楷体" w:eastAsia="楷体"/>
          <w:b/>
          <w:sz w:val="32"/>
          <w:szCs w:val="32"/>
        </w:rPr>
        <w:t>1、</w:t>
      </w:r>
      <w:r>
        <w:rPr>
          <w:rFonts w:hint="eastAsia" w:ascii="楷体" w:hAnsi="楷体" w:eastAsia="楷体" w:cs="宋体"/>
          <w:b/>
          <w:color w:val="000000" w:themeColor="text1"/>
          <w:kern w:val="0"/>
          <w:sz w:val="32"/>
          <w:szCs w:val="32"/>
          <w14:textFill>
            <w14:solidFill>
              <w14:schemeClr w14:val="tx1"/>
            </w14:solidFill>
          </w14:textFill>
        </w:rPr>
        <w:t>“六稳</w:t>
      </w:r>
      <w:r>
        <w:rPr>
          <w:rFonts w:hint="eastAsia" w:ascii="楷体" w:hAnsi="楷体" w:eastAsia="楷体"/>
          <w:b/>
          <w:color w:val="000000" w:themeColor="text1"/>
          <w:sz w:val="32"/>
          <w:szCs w:val="32"/>
          <w:shd w:val="clear" w:color="auto" w:fill="FFFFFF"/>
          <w14:textFill>
            <w14:solidFill>
              <w14:schemeClr w14:val="tx1"/>
            </w14:solidFill>
          </w14:textFill>
        </w:rPr>
        <w:t>六保</w:t>
      </w:r>
      <w:r>
        <w:rPr>
          <w:rFonts w:hint="eastAsia" w:ascii="楷体" w:hAnsi="楷体" w:eastAsia="楷体" w:cs="宋体"/>
          <w:b/>
          <w:color w:val="000000" w:themeColor="text1"/>
          <w:kern w:val="0"/>
          <w:sz w:val="32"/>
          <w:szCs w:val="32"/>
          <w14:textFill>
            <w14:solidFill>
              <w14:schemeClr w14:val="tx1"/>
            </w14:solidFill>
          </w14:textFill>
        </w:rPr>
        <w:t>”工作迎来新机遇</w:t>
      </w:r>
    </w:p>
    <w:p>
      <w:pPr>
        <w:widowControl/>
        <w:adjustRightInd w:val="0"/>
        <w:snapToGrid w:val="0"/>
        <w:spacing w:line="600" w:lineRule="exact"/>
        <w:ind w:firstLine="643" w:firstLineChars="200"/>
        <w:rPr>
          <w:rFonts w:ascii="FangSong_GB2312" w:hAnsi="仿宋" w:eastAsia="FangSong_GB2312"/>
          <w:color w:val="000000" w:themeColor="text1"/>
          <w:sz w:val="32"/>
          <w:szCs w:val="32"/>
          <w:shd w:val="clear" w:color="auto" w:fill="FFFFFF"/>
          <w14:textFill>
            <w14:solidFill>
              <w14:schemeClr w14:val="tx1"/>
            </w14:solidFill>
          </w14:textFill>
        </w:rPr>
      </w:pPr>
      <w:r>
        <w:rPr>
          <w:rFonts w:hint="eastAsia" w:ascii="FangSong_GB2312" w:hAnsi="仿宋" w:eastAsia="FangSong_GB2312"/>
          <w:b/>
          <w:color w:val="000000" w:themeColor="text1"/>
          <w:sz w:val="32"/>
          <w:szCs w:val="32"/>
          <w:shd w:val="clear" w:color="auto" w:fill="FFFFFF"/>
          <w14:textFill>
            <w14:solidFill>
              <w14:schemeClr w14:val="tx1"/>
            </w14:solidFill>
          </w14:textFill>
        </w:rPr>
        <w:t>——科学研判新形势，坚定发展信心。</w:t>
      </w:r>
      <w:r>
        <w:rPr>
          <w:rFonts w:hint="eastAsia" w:ascii="FangSong_GB2312" w:hAnsi="仿宋" w:eastAsia="FangSong_GB2312"/>
          <w:color w:val="000000" w:themeColor="text1"/>
          <w:sz w:val="32"/>
          <w:szCs w:val="32"/>
          <w:shd w:val="clear" w:color="auto" w:fill="FFFFFF"/>
          <w14:textFill>
            <w14:solidFill>
              <w14:schemeClr w14:val="tx1"/>
            </w14:solidFill>
          </w14:textFill>
        </w:rPr>
        <w:t>我县经济社会发展有基础、有优势、有机遇、有抓手，经济长期向好的基本面没有变。要坚定信心决心，准确识变、科学应变，化危为机、危中求机，创新产品服务，降低融资成本，实现财政与地方经济良性互动、相互促进、共同发展。</w:t>
      </w:r>
    </w:p>
    <w:p>
      <w:pPr>
        <w:widowControl/>
        <w:adjustRightInd w:val="0"/>
        <w:snapToGrid w:val="0"/>
        <w:spacing w:line="600" w:lineRule="exact"/>
        <w:ind w:firstLine="643" w:firstLineChars="200"/>
        <w:rPr>
          <w:rFonts w:ascii="FangSong_GB2312" w:hAnsi="仿宋" w:eastAsia="FangSong_GB2312"/>
          <w:color w:val="000000" w:themeColor="text1"/>
          <w:sz w:val="32"/>
          <w:szCs w:val="32"/>
          <w:shd w:val="clear" w:color="auto" w:fill="FFFFFF"/>
          <w14:textFill>
            <w14:solidFill>
              <w14:schemeClr w14:val="tx1"/>
            </w14:solidFill>
          </w14:textFill>
        </w:rPr>
      </w:pPr>
      <w:r>
        <w:rPr>
          <w:rFonts w:hint="eastAsia" w:ascii="FangSong_GB2312" w:hAnsi="仿宋" w:eastAsia="FangSong_GB2312"/>
          <w:b/>
          <w:color w:val="000000" w:themeColor="text1"/>
          <w:sz w:val="32"/>
          <w:szCs w:val="32"/>
          <w:shd w:val="clear" w:color="auto" w:fill="FFFFFF"/>
          <w14:textFill>
            <w14:solidFill>
              <w14:schemeClr w14:val="tx1"/>
            </w14:solidFill>
          </w14:textFill>
        </w:rPr>
        <w:t>——用足用好新政策，强化信贷保障。</w:t>
      </w:r>
      <w:r>
        <w:rPr>
          <w:rFonts w:hint="eastAsia" w:ascii="FangSong_GB2312" w:hAnsi="仿宋" w:eastAsia="FangSong_GB2312"/>
          <w:color w:val="000000" w:themeColor="text1"/>
          <w:sz w:val="32"/>
          <w:szCs w:val="32"/>
          <w:shd w:val="clear" w:color="auto" w:fill="FFFFFF"/>
          <w14:textFill>
            <w14:solidFill>
              <w14:schemeClr w14:val="tx1"/>
            </w14:solidFill>
          </w14:textFill>
        </w:rPr>
        <w:t>聚焦“六稳六保”新要求，强化服务意识，抢抓当前财政政策、货币政策等利好，加大特别国债、专项债券等争取力度，鼓励引导金融机构尽职尽责、积极作为，加大信贷投放力度，做到不抽贷、不断贷、不压贷，为实体经济尤其是中小微企业纾困解难、助力加油。</w:t>
      </w:r>
    </w:p>
    <w:p>
      <w:pPr>
        <w:widowControl/>
        <w:adjustRightInd w:val="0"/>
        <w:snapToGrid w:val="0"/>
        <w:spacing w:line="600" w:lineRule="exact"/>
        <w:ind w:firstLine="643" w:firstLineChars="200"/>
        <w:rPr>
          <w:rFonts w:ascii="FangSong_GB2312" w:hAnsi="仿宋" w:eastAsia="FangSong_GB2312"/>
          <w:color w:val="000000" w:themeColor="text1"/>
          <w:sz w:val="32"/>
          <w:szCs w:val="32"/>
          <w:shd w:val="clear" w:color="auto" w:fill="FFFFFF"/>
          <w14:textFill>
            <w14:solidFill>
              <w14:schemeClr w14:val="tx1"/>
            </w14:solidFill>
          </w14:textFill>
        </w:rPr>
      </w:pPr>
      <w:r>
        <w:rPr>
          <w:rFonts w:hint="eastAsia" w:ascii="FangSong_GB2312" w:hAnsi="仿宋" w:eastAsia="FangSong_GB2312"/>
          <w:b/>
          <w:color w:val="000000" w:themeColor="text1"/>
          <w:sz w:val="32"/>
          <w:szCs w:val="32"/>
          <w:shd w:val="clear" w:color="auto" w:fill="FFFFFF"/>
          <w14:textFill>
            <w14:solidFill>
              <w14:schemeClr w14:val="tx1"/>
            </w14:solidFill>
          </w14:textFill>
        </w:rPr>
        <w:t>——优化金融新环境，营造诚信社会。</w:t>
      </w:r>
      <w:r>
        <w:rPr>
          <w:rFonts w:hint="eastAsia" w:ascii="FangSong_GB2312" w:hAnsi="仿宋" w:eastAsia="FangSong_GB2312"/>
          <w:color w:val="000000" w:themeColor="text1"/>
          <w:sz w:val="32"/>
          <w:szCs w:val="32"/>
          <w:shd w:val="clear" w:color="auto" w:fill="FFFFFF"/>
          <w14:textFill>
            <w14:solidFill>
              <w14:schemeClr w14:val="tx1"/>
            </w14:solidFill>
          </w14:textFill>
        </w:rPr>
        <w:t>创新政银合作模式，建立正向激励、落后倒逼等机制，探索成立政银破解难题市场化机构，在政府特许经营项目建设、支持中小微企业健康发展、培育壮大主导产业、化解金融风险等方面同向共进，打造政银企共建共享共赢的高质量金融生态。</w:t>
      </w:r>
    </w:p>
    <w:p>
      <w:pPr>
        <w:widowControl/>
        <w:shd w:val="clear" w:color="auto" w:fill="FFFFFF"/>
        <w:adjustRightInd w:val="0"/>
        <w:snapToGrid w:val="0"/>
        <w:spacing w:line="600" w:lineRule="exact"/>
        <w:ind w:firstLine="643" w:firstLineChars="200"/>
        <w:jc w:val="left"/>
        <w:rPr>
          <w:rFonts w:hint="eastAsia" w:ascii="FangSong_GB2312" w:hAnsi="仿宋" w:eastAsia="FangSong_GB2312" w:cs="宋体"/>
          <w:color w:val="000000" w:themeColor="text1"/>
          <w:kern w:val="0"/>
          <w:sz w:val="32"/>
          <w:szCs w:val="32"/>
          <w:lang w:eastAsia="zh-CN"/>
          <w14:textFill>
            <w14:solidFill>
              <w14:schemeClr w14:val="tx1"/>
            </w14:solidFill>
          </w14:textFill>
        </w:rPr>
      </w:pPr>
      <w:r>
        <w:rPr>
          <w:rFonts w:hint="eastAsia" w:ascii="FangSong_GB2312" w:hAnsi="仿宋" w:eastAsia="FangSong_GB2312"/>
          <w:b/>
          <w:color w:val="000000" w:themeColor="text1"/>
          <w:sz w:val="32"/>
          <w:szCs w:val="32"/>
          <w:shd w:val="clear" w:color="auto" w:fill="FFFFFF"/>
          <w14:textFill>
            <w14:solidFill>
              <w14:schemeClr w14:val="tx1"/>
            </w14:solidFill>
          </w14:textFill>
        </w:rPr>
        <w:t>——抢抓发展新机遇，深化政银合作。</w:t>
      </w:r>
      <w:r>
        <w:rPr>
          <w:rFonts w:hint="eastAsia" w:ascii="FangSong_GB2312" w:hAnsi="仿宋" w:eastAsia="FangSong_GB2312"/>
          <w:color w:val="000000" w:themeColor="text1"/>
          <w:sz w:val="32"/>
          <w:szCs w:val="32"/>
          <w:shd w:val="clear" w:color="auto" w:fill="FFFFFF"/>
          <w14:textFill>
            <w14:solidFill>
              <w14:schemeClr w14:val="tx1"/>
            </w14:solidFill>
          </w14:textFill>
        </w:rPr>
        <w:t>抢抓省、市重大战略机遇，发挥各自优势、强化功能互补，积极对接“</w:t>
      </w:r>
      <w:r>
        <w:rPr>
          <w:rFonts w:hint="eastAsia" w:ascii="FangSong_GB2312" w:hAnsi="仿宋" w:eastAsia="FangSong_GB2312" w:cs="Times New Roman"/>
          <w:color w:val="000000" w:themeColor="text1"/>
          <w:sz w:val="32"/>
          <w:szCs w:val="32"/>
          <w14:textFill>
            <w14:solidFill>
              <w14:schemeClr w14:val="tx1"/>
            </w14:solidFill>
          </w14:textFill>
        </w:rPr>
        <w:t>湘南湘西承接产业转移示范区</w:t>
      </w:r>
      <w:r>
        <w:rPr>
          <w:rFonts w:hint="eastAsia" w:ascii="FangSong_GB2312" w:hAnsi="仿宋" w:eastAsia="FangSong_GB2312"/>
          <w:color w:val="000000" w:themeColor="text1"/>
          <w:sz w:val="32"/>
          <w:szCs w:val="32"/>
          <w:shd w:val="clear" w:color="auto" w:fill="FFFFFF"/>
          <w14:textFill>
            <w14:solidFill>
              <w14:schemeClr w14:val="tx1"/>
            </w14:solidFill>
          </w14:textFill>
        </w:rPr>
        <w:t>”大战略、</w:t>
      </w:r>
      <w:r>
        <w:rPr>
          <w:rFonts w:hint="eastAsia" w:ascii="FangSong_GB2312" w:hAnsi="仿宋" w:eastAsia="FangSong_GB2312" w:cs="Times New Roman"/>
          <w:color w:val="000000" w:themeColor="text1"/>
          <w:sz w:val="32"/>
          <w:szCs w:val="32"/>
          <w14:textFill>
            <w14:solidFill>
              <w14:schemeClr w14:val="tx1"/>
            </w14:solidFill>
          </w14:textFill>
        </w:rPr>
        <w:t>邵阳市</w:t>
      </w:r>
      <w:r>
        <w:rPr>
          <w:rFonts w:hint="eastAsia" w:ascii="FangSong_GB2312" w:hAnsi="仿宋" w:eastAsia="FangSong_GB2312" w:cs="宋体"/>
          <w:color w:val="000000" w:themeColor="text1"/>
          <w:kern w:val="0"/>
          <w:sz w:val="32"/>
          <w:szCs w:val="32"/>
          <w14:textFill>
            <w14:solidFill>
              <w14:schemeClr w14:val="tx1"/>
            </w14:solidFill>
          </w14:textFill>
        </w:rPr>
        <w:t>“一核一带一圈”区域布局</w:t>
      </w:r>
      <w:r>
        <w:rPr>
          <w:rFonts w:hint="eastAsia" w:ascii="FangSong_GB2312" w:hAnsi="仿宋" w:eastAsia="FangSong_GB2312"/>
          <w:color w:val="000000" w:themeColor="text1"/>
          <w:sz w:val="32"/>
          <w:szCs w:val="32"/>
          <w:shd w:val="clear" w:color="auto" w:fill="FFFFFF"/>
          <w14:textFill>
            <w14:solidFill>
              <w14:schemeClr w14:val="tx1"/>
            </w14:solidFill>
          </w14:textFill>
        </w:rPr>
        <w:t>，</w:t>
      </w:r>
      <w:r>
        <w:rPr>
          <w:rFonts w:hint="eastAsia" w:ascii="FangSong_GB2312" w:hAnsi="仿宋" w:eastAsia="FangSong_GB2312" w:cs="宋体"/>
          <w:color w:val="000000" w:themeColor="text1"/>
          <w:kern w:val="0"/>
          <w:sz w:val="32"/>
          <w:szCs w:val="32"/>
          <w14:textFill>
            <w14:solidFill>
              <w14:schemeClr w14:val="tx1"/>
            </w14:solidFill>
          </w14:textFill>
        </w:rPr>
        <w:t>依托湘商产业园、</w:t>
      </w:r>
      <w:r>
        <w:rPr>
          <w:rFonts w:hint="eastAsia" w:ascii="FangSong_GB2312" w:hAnsi="仿宋" w:eastAsia="FangSong_GB2312"/>
          <w:color w:val="000000" w:themeColor="text1"/>
          <w:sz w:val="32"/>
          <w:szCs w:val="32"/>
          <w14:textFill>
            <w14:solidFill>
              <w14:schemeClr w14:val="tx1"/>
            </w14:solidFill>
          </w14:textFill>
        </w:rPr>
        <w:t>袁家团国家木竹产业示范园，</w:t>
      </w:r>
      <w:r>
        <w:rPr>
          <w:rFonts w:hint="eastAsia" w:ascii="FangSong_GB2312" w:hAnsi="仿宋" w:eastAsia="FangSong_GB2312"/>
          <w:color w:val="000000" w:themeColor="text1"/>
          <w:sz w:val="32"/>
          <w:szCs w:val="32"/>
          <w:shd w:val="clear" w:color="auto" w:fill="FFFFFF"/>
          <w14:textFill>
            <w14:solidFill>
              <w14:schemeClr w14:val="tx1"/>
            </w14:solidFill>
          </w14:textFill>
        </w:rPr>
        <w:t>努力实施县域经济高质量发展。探索建立政府引导基金、产业发展基金等模式，努力推动政银紧密型联合体</w:t>
      </w:r>
      <w:r>
        <w:rPr>
          <w:rFonts w:hint="eastAsia" w:ascii="FangSong_GB2312" w:hAnsi="仿宋" w:eastAsia="FangSong_GB2312"/>
          <w:color w:val="000000" w:themeColor="text1"/>
          <w:sz w:val="32"/>
          <w:szCs w:val="32"/>
          <w:shd w:val="clear" w:color="auto" w:fill="FFFFFF"/>
          <w:lang w:eastAsia="zh-CN"/>
          <w14:textFill>
            <w14:solidFill>
              <w14:schemeClr w14:val="tx1"/>
            </w14:solidFill>
          </w14:textFill>
        </w:rPr>
        <w:t>。</w:t>
      </w:r>
    </w:p>
    <w:p>
      <w:pPr>
        <w:widowControl/>
        <w:adjustRightInd w:val="0"/>
        <w:snapToGrid w:val="0"/>
        <w:spacing w:beforeLines="50" w:line="600" w:lineRule="exact"/>
        <w:ind w:firstLine="643" w:firstLineChars="200"/>
        <w:rPr>
          <w:rFonts w:ascii="楷体" w:hAnsi="楷体" w:eastAsia="楷体" w:cs="宋体"/>
          <w:b/>
          <w:color w:val="000000" w:themeColor="text1"/>
          <w:kern w:val="0"/>
          <w:sz w:val="32"/>
          <w:szCs w:val="32"/>
          <w14:textFill>
            <w14:solidFill>
              <w14:schemeClr w14:val="tx1"/>
            </w14:solidFill>
          </w14:textFill>
        </w:rPr>
      </w:pPr>
      <w:r>
        <w:rPr>
          <w:rFonts w:hint="eastAsia" w:ascii="楷体" w:hAnsi="楷体" w:eastAsia="楷体"/>
          <w:b/>
          <w:sz w:val="32"/>
          <w:szCs w:val="32"/>
        </w:rPr>
        <w:t>2、</w:t>
      </w:r>
      <w:r>
        <w:rPr>
          <w:rFonts w:hint="eastAsia" w:ascii="楷体" w:hAnsi="楷体" w:eastAsia="楷体" w:cs="宋体"/>
          <w:b/>
          <w:color w:val="1F497D" w:themeColor="text2"/>
          <w:kern w:val="0"/>
          <w:sz w:val="32"/>
          <w:szCs w:val="32"/>
          <w14:textFill>
            <w14:solidFill>
              <w14:schemeClr w14:val="tx2"/>
            </w14:solidFill>
          </w14:textFill>
        </w:rPr>
        <w:t>“</w:t>
      </w:r>
      <w:r>
        <w:rPr>
          <w:rFonts w:hint="eastAsia" w:ascii="楷体" w:hAnsi="楷体" w:eastAsia="楷体" w:cs="宋体"/>
          <w:b/>
          <w:color w:val="000000" w:themeColor="text1"/>
          <w:kern w:val="0"/>
          <w:sz w:val="32"/>
          <w:szCs w:val="32"/>
          <w14:textFill>
            <w14:solidFill>
              <w14:schemeClr w14:val="tx1"/>
            </w14:solidFill>
          </w14:textFill>
        </w:rPr>
        <w:t>六稳</w:t>
      </w:r>
      <w:r>
        <w:rPr>
          <w:rFonts w:hint="eastAsia" w:ascii="楷体" w:hAnsi="楷体" w:eastAsia="楷体"/>
          <w:b/>
          <w:color w:val="000000" w:themeColor="text1"/>
          <w:sz w:val="32"/>
          <w:szCs w:val="32"/>
          <w:shd w:val="clear" w:color="auto" w:fill="FFFFFF"/>
          <w14:textFill>
            <w14:solidFill>
              <w14:schemeClr w14:val="tx1"/>
            </w14:solidFill>
          </w14:textFill>
        </w:rPr>
        <w:t>六保</w:t>
      </w:r>
      <w:r>
        <w:rPr>
          <w:rFonts w:hint="eastAsia" w:ascii="楷体" w:hAnsi="楷体" w:eastAsia="楷体" w:cs="宋体"/>
          <w:b/>
          <w:color w:val="1F497D" w:themeColor="text2"/>
          <w:kern w:val="0"/>
          <w:sz w:val="32"/>
          <w:szCs w:val="32"/>
          <w14:textFill>
            <w14:solidFill>
              <w14:schemeClr w14:val="tx2"/>
            </w14:solidFill>
          </w14:textFill>
        </w:rPr>
        <w:t>”</w:t>
      </w:r>
      <w:r>
        <w:rPr>
          <w:rFonts w:hint="eastAsia" w:ascii="楷体" w:hAnsi="楷体" w:eastAsia="楷体" w:cs="宋体"/>
          <w:b/>
          <w:color w:val="000000" w:themeColor="text1"/>
          <w:kern w:val="0"/>
          <w:sz w:val="32"/>
          <w:szCs w:val="32"/>
          <w14:textFill>
            <w14:solidFill>
              <w14:schemeClr w14:val="tx1"/>
            </w14:solidFill>
          </w14:textFill>
        </w:rPr>
        <w:t>任务带来新挑战</w:t>
      </w:r>
    </w:p>
    <w:p>
      <w:pPr>
        <w:widowControl/>
        <w:adjustRightInd w:val="0"/>
        <w:snapToGrid w:val="0"/>
        <w:spacing w:line="600" w:lineRule="exact"/>
        <w:ind w:firstLine="482"/>
        <w:rPr>
          <w:rFonts w:ascii="FangSong_GB2312" w:hAnsi="仿宋" w:eastAsia="FangSong_GB2312" w:cs="宋体"/>
          <w:color w:val="000000" w:themeColor="text1"/>
          <w:kern w:val="0"/>
          <w:sz w:val="32"/>
          <w:szCs w:val="32"/>
          <w14:textFill>
            <w14:solidFill>
              <w14:schemeClr w14:val="tx1"/>
            </w14:solidFill>
          </w14:textFill>
        </w:rPr>
      </w:pPr>
      <w:r>
        <w:rPr>
          <w:rFonts w:hint="eastAsia" w:ascii="仿宋" w:hAnsi="仿宋" w:eastAsia="仿宋" w:cs="宋体"/>
          <w:color w:val="1F497D" w:themeColor="text2"/>
          <w:kern w:val="0"/>
          <w:sz w:val="32"/>
          <w:szCs w:val="32"/>
          <w14:textFill>
            <w14:solidFill>
              <w14:schemeClr w14:val="tx2"/>
            </w14:solidFill>
          </w14:textFill>
        </w:rPr>
        <w:t xml:space="preserve"> </w:t>
      </w:r>
      <w:r>
        <w:rPr>
          <w:rFonts w:hint="eastAsia" w:ascii="FangSong_GB2312" w:hAnsi="仿宋" w:eastAsia="FangSong_GB2312" w:cs="宋体"/>
          <w:color w:val="000000" w:themeColor="text1"/>
          <w:kern w:val="0"/>
          <w:sz w:val="32"/>
          <w:szCs w:val="32"/>
          <w14:textFill>
            <w14:solidFill>
              <w14:schemeClr w14:val="tx1"/>
            </w14:solidFill>
          </w14:textFill>
        </w:rPr>
        <w:t>随着外部发展环境的变化，我县长期积累的深层次问题和结构性矛盾逐步显现，人口老龄化问题日渐突出，市民对就业、教育、医疗、养老、社保、住房等需求日益强烈。</w:t>
      </w:r>
      <w:r>
        <w:rPr>
          <w:rFonts w:hint="eastAsia" w:ascii="FangSong_GB2312" w:hAnsi="楷体" w:eastAsia="FangSong_GB2312" w:cs="宋体"/>
          <w:color w:val="1F497D" w:themeColor="text2"/>
          <w:kern w:val="0"/>
          <w:sz w:val="32"/>
          <w:szCs w:val="32"/>
          <w14:textFill>
            <w14:solidFill>
              <w14:schemeClr w14:val="tx2"/>
            </w14:solidFill>
          </w14:textFill>
        </w:rPr>
        <w:t>“</w:t>
      </w:r>
      <w:r>
        <w:rPr>
          <w:rFonts w:hint="eastAsia" w:ascii="FangSong_GB2312" w:hAnsi="楷体" w:eastAsia="FangSong_GB2312" w:cs="宋体"/>
          <w:color w:val="000000" w:themeColor="text1"/>
          <w:kern w:val="0"/>
          <w:sz w:val="32"/>
          <w:szCs w:val="32"/>
          <w14:textFill>
            <w14:solidFill>
              <w14:schemeClr w14:val="tx1"/>
            </w14:solidFill>
          </w14:textFill>
        </w:rPr>
        <w:t>六稳</w:t>
      </w:r>
      <w:r>
        <w:rPr>
          <w:rFonts w:hint="eastAsia" w:ascii="FangSong_GB2312" w:hAnsi="楷体" w:eastAsia="FangSong_GB2312"/>
          <w:color w:val="000000" w:themeColor="text1"/>
          <w:sz w:val="32"/>
          <w:szCs w:val="32"/>
          <w:shd w:val="clear" w:color="auto" w:fill="FFFFFF"/>
          <w14:textFill>
            <w14:solidFill>
              <w14:schemeClr w14:val="tx1"/>
            </w14:solidFill>
          </w14:textFill>
        </w:rPr>
        <w:t>六保</w:t>
      </w:r>
      <w:r>
        <w:rPr>
          <w:rFonts w:hint="eastAsia" w:ascii="FangSong_GB2312" w:hAnsi="楷体" w:eastAsia="FangSong_GB2312" w:cs="宋体"/>
          <w:color w:val="1F497D" w:themeColor="text2"/>
          <w:kern w:val="0"/>
          <w:sz w:val="32"/>
          <w:szCs w:val="32"/>
          <w14:textFill>
            <w14:solidFill>
              <w14:schemeClr w14:val="tx2"/>
            </w14:solidFill>
          </w14:textFill>
        </w:rPr>
        <w:t>”</w:t>
      </w:r>
      <w:r>
        <w:rPr>
          <w:rFonts w:hint="eastAsia" w:ascii="FangSong_GB2312" w:hAnsi="仿宋" w:eastAsia="FangSong_GB2312" w:cs="宋体"/>
          <w:color w:val="000000" w:themeColor="text1"/>
          <w:kern w:val="0"/>
          <w:sz w:val="32"/>
          <w:szCs w:val="32"/>
          <w14:textFill>
            <w14:solidFill>
              <w14:schemeClr w14:val="tx1"/>
            </w14:solidFill>
          </w14:textFill>
        </w:rPr>
        <w:t>需加大投入，财政保障任务将十分繁重。“十四五”期间，财政收入中低速增长将成为常态，财政收支矛盾将比“十三五”期间更加突出。</w:t>
      </w:r>
    </w:p>
    <w:p>
      <w:pPr>
        <w:widowControl/>
        <w:shd w:val="clear" w:color="auto" w:fill="FFFFFF"/>
        <w:adjustRightInd w:val="0"/>
        <w:snapToGrid w:val="0"/>
        <w:spacing w:beforeLines="50" w:line="600" w:lineRule="exact"/>
        <w:ind w:firstLine="630" w:firstLineChars="196"/>
        <w:jc w:val="left"/>
        <w:rPr>
          <w:rFonts w:ascii="楷体" w:hAnsi="楷体" w:eastAsia="楷体" w:cs="宋体"/>
          <w:b/>
          <w:color w:val="333333"/>
          <w:kern w:val="0"/>
          <w:sz w:val="32"/>
          <w:szCs w:val="32"/>
        </w:rPr>
      </w:pPr>
      <w:r>
        <w:rPr>
          <w:rFonts w:hint="eastAsia" w:ascii="楷体" w:hAnsi="楷体" w:eastAsia="楷体"/>
          <w:b/>
          <w:sz w:val="32"/>
          <w:szCs w:val="32"/>
        </w:rPr>
        <w:t>3、</w:t>
      </w:r>
      <w:r>
        <w:rPr>
          <w:rFonts w:hint="eastAsia" w:ascii="楷体" w:hAnsi="楷体" w:eastAsia="楷体" w:cs="宋体"/>
          <w:b/>
          <w:color w:val="333333"/>
          <w:kern w:val="0"/>
          <w:sz w:val="32"/>
          <w:szCs w:val="32"/>
        </w:rPr>
        <w:t>创新发展，财源建设面临新制约</w:t>
      </w:r>
    </w:p>
    <w:p>
      <w:pPr>
        <w:widowControl/>
        <w:shd w:val="clear" w:color="auto" w:fill="FFFFFF"/>
        <w:adjustRightInd w:val="0"/>
        <w:snapToGrid w:val="0"/>
        <w:spacing w:line="600" w:lineRule="exact"/>
        <w:ind w:firstLine="640" w:firstLineChars="200"/>
        <w:rPr>
          <w:rFonts w:ascii="FangSong_GB2312" w:hAnsi="仿宋" w:eastAsia="FangSong_GB2312" w:cs="宋体"/>
          <w:color w:val="000000" w:themeColor="text1"/>
          <w:kern w:val="0"/>
          <w:sz w:val="32"/>
          <w:szCs w:val="32"/>
          <w14:textFill>
            <w14:solidFill>
              <w14:schemeClr w14:val="tx1"/>
            </w14:solidFill>
          </w14:textFill>
        </w:rPr>
      </w:pPr>
      <w:r>
        <w:rPr>
          <w:rFonts w:hint="eastAsia" w:ascii="FangSong_GB2312" w:hAnsi="仿宋" w:eastAsia="FangSong_GB2312" w:cs="宋体"/>
          <w:color w:val="000000" w:themeColor="text1"/>
          <w:kern w:val="0"/>
          <w:sz w:val="32"/>
          <w:szCs w:val="32"/>
          <w14:textFill>
            <w14:solidFill>
              <w14:schemeClr w14:val="tx1"/>
            </w14:solidFill>
          </w14:textFill>
        </w:rPr>
        <w:t>创新发展是经济发展的核心动力。我县现有产业结构不优，产业集聚不够，技术力量落后，高端实用人才缺乏，创新能力不足</w:t>
      </w:r>
      <w:r>
        <w:rPr>
          <w:rFonts w:hint="eastAsia" w:ascii="FangSong_GB2312" w:hAnsi="楷体" w:eastAsia="FangSong_GB2312" w:cs="宋体"/>
          <w:color w:val="333333"/>
          <w:kern w:val="0"/>
          <w:sz w:val="32"/>
          <w:szCs w:val="32"/>
        </w:rPr>
        <w:t>制约财源建设的快速发展</w:t>
      </w:r>
      <w:r>
        <w:rPr>
          <w:rFonts w:hint="eastAsia" w:ascii="FangSong_GB2312" w:hAnsi="仿宋" w:eastAsia="FangSong_GB2312" w:cs="宋体"/>
          <w:color w:val="000000" w:themeColor="text1"/>
          <w:kern w:val="0"/>
          <w:sz w:val="32"/>
          <w:szCs w:val="32"/>
          <w14:textFill>
            <w14:solidFill>
              <w14:schemeClr w14:val="tx1"/>
            </w14:solidFill>
          </w14:textFill>
        </w:rPr>
        <w:t>；“互联网+”经济的兴起必将导致部分税源向电子商务相对发达的地区转移，造成一定程度的税收流失；财政支持经济社会发展的方式还有较大的创新空间。多重因素叠加，我县财源建设必将面临较大的制约。</w:t>
      </w:r>
    </w:p>
    <w:p>
      <w:pPr>
        <w:widowControl/>
        <w:shd w:val="clear" w:color="auto" w:fill="FFFFFF"/>
        <w:adjustRightInd w:val="0"/>
        <w:snapToGrid w:val="0"/>
        <w:spacing w:beforeLines="50" w:line="600" w:lineRule="exact"/>
        <w:ind w:firstLine="639" w:firstLineChars="199"/>
        <w:jc w:val="left"/>
        <w:rPr>
          <w:rFonts w:ascii="楷体" w:hAnsi="楷体" w:eastAsia="楷体" w:cs="宋体"/>
          <w:b/>
          <w:color w:val="333333"/>
          <w:kern w:val="0"/>
          <w:sz w:val="32"/>
          <w:szCs w:val="32"/>
        </w:rPr>
      </w:pPr>
      <w:r>
        <w:rPr>
          <w:rFonts w:hint="eastAsia" w:ascii="楷体" w:hAnsi="楷体" w:eastAsia="楷体"/>
          <w:b/>
          <w:sz w:val="32"/>
          <w:szCs w:val="32"/>
        </w:rPr>
        <w:t>4、</w:t>
      </w:r>
      <w:r>
        <w:rPr>
          <w:rFonts w:hint="eastAsia" w:ascii="楷体" w:hAnsi="楷体" w:eastAsia="楷体" w:cs="宋体"/>
          <w:b/>
          <w:color w:val="333333"/>
          <w:kern w:val="0"/>
          <w:sz w:val="32"/>
          <w:szCs w:val="32"/>
        </w:rPr>
        <w:t>绿色发展，财源开辟面临新突破</w:t>
      </w:r>
    </w:p>
    <w:p>
      <w:pPr>
        <w:widowControl/>
        <w:shd w:val="clear" w:color="auto" w:fill="FFFFFF"/>
        <w:adjustRightInd w:val="0"/>
        <w:snapToGrid w:val="0"/>
        <w:spacing w:line="600" w:lineRule="exact"/>
        <w:ind w:firstLine="640" w:firstLineChars="200"/>
        <w:jc w:val="left"/>
        <w:rPr>
          <w:rFonts w:ascii="FangSong_GB2312" w:hAnsi="仿宋" w:eastAsia="FangSong_GB2312" w:cs="宋体"/>
          <w:color w:val="333333"/>
          <w:kern w:val="0"/>
          <w:sz w:val="32"/>
          <w:szCs w:val="32"/>
        </w:rPr>
      </w:pPr>
      <w:r>
        <w:rPr>
          <w:rFonts w:hint="eastAsia" w:ascii="FangSong_GB2312" w:hAnsi="仿宋" w:eastAsia="FangSong_GB2312" w:cs="宋体"/>
          <w:color w:val="333333"/>
          <w:kern w:val="0"/>
          <w:sz w:val="32"/>
          <w:szCs w:val="32"/>
        </w:rPr>
        <w:t>按照生态立县、绿色惠民要求，继续加快两型社会建设，推动生产方式和生活方式绿色化，开辟新的财源。大力发展绿色农业与绿色食品加工业、生态旅游业、现代服务业和新材料、新能源、生物、节能环保等战略性新兴产业；促进现代信息技术的充分运用及其与传统产业的跨界融合，加快形成若干新的产业业态和新的经济增长点；加强绿色低碳技术的运用与推广，推进传统产业的绿色转型发展；大力建设高效益、集约化、生态型产业园区。</w:t>
      </w:r>
    </w:p>
    <w:p>
      <w:pPr>
        <w:widowControl/>
        <w:shd w:val="clear" w:color="auto" w:fill="FFFFFF"/>
        <w:adjustRightInd w:val="0"/>
        <w:snapToGrid w:val="0"/>
        <w:spacing w:beforeLines="50" w:line="600" w:lineRule="exact"/>
        <w:ind w:firstLine="643" w:firstLineChars="200"/>
        <w:jc w:val="left"/>
        <w:rPr>
          <w:rFonts w:ascii="楷体" w:hAnsi="楷体" w:eastAsia="楷体" w:cs="宋体"/>
          <w:b/>
          <w:color w:val="333333"/>
          <w:kern w:val="0"/>
          <w:sz w:val="32"/>
          <w:szCs w:val="32"/>
        </w:rPr>
      </w:pPr>
      <w:r>
        <w:rPr>
          <w:rFonts w:hint="eastAsia" w:ascii="楷体" w:hAnsi="楷体" w:eastAsia="楷体"/>
          <w:b/>
          <w:sz w:val="32"/>
          <w:szCs w:val="32"/>
        </w:rPr>
        <w:t>5、</w:t>
      </w:r>
      <w:r>
        <w:rPr>
          <w:rFonts w:hint="eastAsia" w:ascii="楷体" w:hAnsi="楷体" w:eastAsia="楷体" w:cs="宋体"/>
          <w:b/>
          <w:color w:val="333333"/>
          <w:kern w:val="0"/>
          <w:sz w:val="32"/>
          <w:szCs w:val="32"/>
        </w:rPr>
        <w:t>“四城同创”，财政支出面临新任务</w:t>
      </w:r>
    </w:p>
    <w:p>
      <w:pPr>
        <w:widowControl/>
        <w:shd w:val="clear" w:color="auto" w:fill="FFFFFF"/>
        <w:adjustRightInd w:val="0"/>
        <w:snapToGrid w:val="0"/>
        <w:spacing w:line="600" w:lineRule="exact"/>
        <w:ind w:firstLine="640" w:firstLineChars="200"/>
        <w:jc w:val="left"/>
        <w:rPr>
          <w:rFonts w:ascii="FangSong_GB2312" w:hAnsi="仿宋" w:eastAsia="FangSong_GB2312" w:cs="宋体"/>
          <w:color w:val="333333"/>
          <w:kern w:val="0"/>
          <w:sz w:val="32"/>
          <w:szCs w:val="32"/>
        </w:rPr>
      </w:pPr>
      <w:r>
        <w:rPr>
          <w:rFonts w:hint="eastAsia" w:ascii="FangSong_GB2312" w:hAnsi="仿宋" w:eastAsia="FangSong_GB2312" w:cs="宋体"/>
          <w:color w:val="333333"/>
          <w:kern w:val="0"/>
          <w:sz w:val="32"/>
          <w:szCs w:val="32"/>
        </w:rPr>
        <w:t>我县提出：</w:t>
      </w:r>
      <w:r>
        <w:rPr>
          <w:rFonts w:hint="eastAsia" w:ascii="FangSong_GB2312" w:hAnsi="仿宋" w:eastAsia="FangSong_GB2312"/>
          <w:color w:val="444444"/>
          <w:sz w:val="32"/>
          <w:szCs w:val="32"/>
          <w:shd w:val="clear" w:color="auto" w:fill="FFFFFF"/>
        </w:rPr>
        <w:t xml:space="preserve"> 用三年左右的时间成功创建“省级卫生县城”、“省级文明县城”、“省级园林县城”、“省级森林城市”</w:t>
      </w:r>
      <w:r>
        <w:rPr>
          <w:rFonts w:hint="eastAsia" w:ascii="FangSong_GB2312" w:hAnsi="仿宋" w:eastAsia="FangSong_GB2312" w:cs="宋体"/>
          <w:color w:val="333333"/>
          <w:kern w:val="0"/>
          <w:sz w:val="32"/>
          <w:szCs w:val="32"/>
        </w:rPr>
        <w:t>。公共财政支出不仅要盯紧经济发展、民生事业建设、基础设施薄弱几块短板，还加注重公共文化服务体系、资源节约型、环境友好型社会的的构建。</w:t>
      </w:r>
      <w:r>
        <w:rPr>
          <w:rFonts w:hint="eastAsia" w:ascii="FangSong_GB2312" w:hAnsi="楷体" w:eastAsia="FangSong_GB2312" w:cs="宋体"/>
          <w:color w:val="333333"/>
          <w:kern w:val="0"/>
          <w:sz w:val="32"/>
          <w:szCs w:val="32"/>
        </w:rPr>
        <w:t>财政支出面临新任务</w:t>
      </w:r>
      <w:r>
        <w:rPr>
          <w:rFonts w:hint="eastAsia" w:ascii="FangSong_GB2312" w:hAnsi="仿宋" w:eastAsia="FangSong_GB2312" w:cs="宋体"/>
          <w:color w:val="333333"/>
          <w:kern w:val="0"/>
          <w:sz w:val="32"/>
          <w:szCs w:val="32"/>
        </w:rPr>
        <w:t>。</w:t>
      </w:r>
    </w:p>
    <w:p>
      <w:pPr>
        <w:widowControl/>
        <w:shd w:val="clear" w:color="auto" w:fill="FFFFFF"/>
        <w:adjustRightInd w:val="0"/>
        <w:snapToGrid w:val="0"/>
        <w:spacing w:beforeLines="150"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二、发展思路与目标</w:t>
      </w:r>
    </w:p>
    <w:p>
      <w:pPr>
        <w:widowControl/>
        <w:shd w:val="clear" w:color="auto" w:fill="FFFFFF"/>
        <w:adjustRightInd w:val="0"/>
        <w:snapToGrid w:val="0"/>
        <w:spacing w:beforeLines="50" w:line="600" w:lineRule="exact"/>
        <w:ind w:firstLine="630" w:firstLineChars="196"/>
        <w:jc w:val="left"/>
        <w:outlineLvl w:val="0"/>
        <w:rPr>
          <w:rFonts w:ascii="楷体" w:hAnsi="楷体" w:eastAsia="楷体" w:cs="宋体"/>
          <w:b/>
          <w:color w:val="333333"/>
          <w:kern w:val="0"/>
          <w:sz w:val="32"/>
          <w:szCs w:val="32"/>
        </w:rPr>
      </w:pPr>
      <w:r>
        <w:rPr>
          <w:rFonts w:ascii="Times New Roman" w:hAnsi="楷体" w:eastAsia="楷体" w:cs="Times New Roman"/>
          <w:b/>
          <w:color w:val="333333"/>
          <w:kern w:val="0"/>
          <w:sz w:val="32"/>
          <w:szCs w:val="32"/>
        </w:rPr>
        <w:t>（一）</w:t>
      </w:r>
      <w:r>
        <w:rPr>
          <w:rFonts w:hint="eastAsia" w:ascii="楷体" w:hAnsi="楷体" w:eastAsia="楷体" w:cs="宋体"/>
          <w:b/>
          <w:color w:val="333333"/>
          <w:kern w:val="0"/>
          <w:sz w:val="32"/>
          <w:szCs w:val="32"/>
        </w:rPr>
        <w:t>指导思想</w:t>
      </w:r>
    </w:p>
    <w:p>
      <w:pPr>
        <w:widowControl/>
        <w:shd w:val="clear" w:color="auto" w:fill="FFFFFF"/>
        <w:adjustRightInd w:val="0"/>
        <w:snapToGrid w:val="0"/>
        <w:spacing w:line="600" w:lineRule="exact"/>
        <w:ind w:firstLine="627" w:firstLineChars="196"/>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color w:val="000000" w:themeColor="text1"/>
          <w:sz w:val="32"/>
          <w:szCs w:val="32"/>
          <w14:textFill>
            <w14:solidFill>
              <w14:schemeClr w14:val="tx1"/>
            </w14:solidFill>
          </w14:textFill>
        </w:rPr>
        <w:t>聚焦习近平总书记在湖南考察时提出的打造“三个高地”、担当“四新使命”、落实五项重点任务，聚焦“十四五”时期县委政府各项决策部署，做好资金保障和财政支持，展现财政作为。持续深化财税改革，大力推进财政高质量发展，牢固树立长期过“紧日子”思想，量入为出、以收定支、保障重点，扎实做好“六稳”工作，落实“六保”任务。</w:t>
      </w:r>
    </w:p>
    <w:p>
      <w:pPr>
        <w:widowControl/>
        <w:shd w:val="clear" w:color="auto" w:fill="FFFFFF"/>
        <w:adjustRightInd w:val="0"/>
        <w:snapToGrid w:val="0"/>
        <w:spacing w:beforeLines="50" w:line="600" w:lineRule="exact"/>
        <w:ind w:firstLine="630" w:firstLineChars="196"/>
        <w:jc w:val="left"/>
        <w:outlineLvl w:val="0"/>
        <w:rPr>
          <w:rFonts w:ascii="楷体" w:hAnsi="楷体" w:eastAsia="楷体" w:cs="宋体"/>
          <w:b/>
          <w:color w:val="333333"/>
          <w:kern w:val="0"/>
          <w:sz w:val="32"/>
          <w:szCs w:val="32"/>
        </w:rPr>
      </w:pPr>
      <w:r>
        <w:rPr>
          <w:rFonts w:ascii="Times New Roman" w:hAnsi="楷体" w:eastAsia="楷体" w:cs="Times New Roman"/>
          <w:b/>
          <w:color w:val="333333"/>
          <w:kern w:val="0"/>
          <w:sz w:val="32"/>
          <w:szCs w:val="32"/>
        </w:rPr>
        <w:t>（二）发展思路</w:t>
      </w:r>
    </w:p>
    <w:p>
      <w:pPr>
        <w:widowControl/>
        <w:shd w:val="clear" w:color="auto" w:fill="FFFFFF"/>
        <w:adjustRightInd w:val="0"/>
        <w:snapToGrid w:val="0"/>
        <w:spacing w:line="600" w:lineRule="exact"/>
        <w:ind w:firstLine="627" w:firstLineChars="196"/>
        <w:rPr>
          <w:rFonts w:ascii="FangSong_GB2312" w:hAnsi="仿宋" w:eastAsia="FangSong_GB2312" w:cs="Times New Roman"/>
          <w:color w:val="000000" w:themeColor="text1"/>
          <w:kern w:val="0"/>
          <w:sz w:val="32"/>
          <w:szCs w:val="32"/>
          <w14:textFill>
            <w14:solidFill>
              <w14:schemeClr w14:val="tx1"/>
            </w14:solidFill>
          </w14:textFill>
        </w:rPr>
      </w:pPr>
      <w:r>
        <w:rPr>
          <w:rFonts w:hint="eastAsia" w:ascii="FangSong_GB2312" w:hAnsi="仿宋" w:eastAsia="FangSong_GB2312" w:cs="Times New Roman"/>
          <w:color w:val="000000" w:themeColor="text1"/>
          <w:kern w:val="0"/>
          <w:sz w:val="32"/>
          <w:szCs w:val="32"/>
          <w14:textFill>
            <w14:solidFill>
              <w14:schemeClr w14:val="tx1"/>
            </w14:solidFill>
          </w14:textFill>
        </w:rPr>
        <w:t>准确把握绥宁县发展的阶段性特征和总体态势，按照“</w:t>
      </w:r>
      <w:r>
        <w:rPr>
          <w:rFonts w:hint="eastAsia" w:ascii="FangSong_GB2312" w:hAnsi="仿宋" w:eastAsia="FangSong_GB2312"/>
          <w:color w:val="000000" w:themeColor="text1"/>
          <w:sz w:val="32"/>
          <w:szCs w:val="32"/>
          <w14:textFill>
            <w14:solidFill>
              <w14:schemeClr w14:val="tx1"/>
            </w14:solidFill>
          </w14:textFill>
        </w:rPr>
        <w:t>生态立县、人才兴县、旅游带动、特色发展</w:t>
      </w:r>
      <w:r>
        <w:rPr>
          <w:rFonts w:hint="eastAsia" w:ascii="FangSong_GB2312" w:hAnsi="仿宋" w:eastAsia="FangSong_GB2312" w:cs="Times New Roman"/>
          <w:color w:val="000000" w:themeColor="text1"/>
          <w:kern w:val="0"/>
          <w:sz w:val="32"/>
          <w:szCs w:val="32"/>
          <w14:textFill>
            <w14:solidFill>
              <w14:schemeClr w14:val="tx1"/>
            </w14:solidFill>
          </w14:textFill>
        </w:rPr>
        <w:t>”的战略定位，践行创新、协调、绿色、开放、共享五大发展理念，加快推进以供给侧为核心的各项财税体制改革，不断优化财政政策体系，着力建设现代财政、法治财政、民生财政，更好地发挥财政在适应引领新常态中的基础性作用，推动全县经济社会持续稳定增长。</w:t>
      </w:r>
    </w:p>
    <w:p>
      <w:pPr>
        <w:widowControl/>
        <w:shd w:val="clear" w:color="auto" w:fill="FFFFFF"/>
        <w:adjustRightInd w:val="0"/>
        <w:snapToGrid w:val="0"/>
        <w:spacing w:beforeLines="50" w:line="600" w:lineRule="exact"/>
        <w:ind w:firstLine="630" w:firstLineChars="196"/>
        <w:rPr>
          <w:rFonts w:ascii="FangSong_GB2312" w:hAnsi="仿宋" w:eastAsia="FangSong_GB2312" w:cs="Times New Roman"/>
          <w:color w:val="333333"/>
          <w:kern w:val="0"/>
          <w:sz w:val="32"/>
          <w:szCs w:val="32"/>
        </w:rPr>
      </w:pPr>
      <w:r>
        <w:rPr>
          <w:rFonts w:hint="eastAsia" w:ascii="FangSong_GB2312" w:hAnsi="仿宋" w:eastAsia="FangSong_GB2312" w:cs="Times New Roman"/>
          <w:b/>
          <w:color w:val="333333"/>
          <w:kern w:val="0"/>
          <w:sz w:val="32"/>
          <w:szCs w:val="32"/>
        </w:rPr>
        <w:t>1、财源建设思路。</w:t>
      </w:r>
      <w:r>
        <w:rPr>
          <w:rFonts w:hint="eastAsia" w:ascii="FangSong_GB2312" w:hAnsi="仿宋" w:eastAsia="FangSong_GB2312" w:cs="Times New Roman"/>
          <w:color w:val="333333"/>
          <w:kern w:val="0"/>
          <w:sz w:val="32"/>
          <w:szCs w:val="32"/>
        </w:rPr>
        <w:t>推动积极的财税政策加力</w:t>
      </w:r>
      <w:r>
        <w:rPr>
          <w:rFonts w:hint="eastAsia" w:ascii="FangSong_GB2312" w:hAnsi="仿宋" w:eastAsia="仿宋" w:cs="Times New Roman"/>
          <w:color w:val="333333"/>
          <w:kern w:val="0"/>
          <w:sz w:val="32"/>
          <w:szCs w:val="32"/>
        </w:rPr>
        <w:t>増</w:t>
      </w:r>
      <w:r>
        <w:rPr>
          <w:rFonts w:hint="eastAsia" w:ascii="FangSong_GB2312" w:hAnsi="仿宋" w:eastAsia="FangSong_GB2312" w:cs="Times New Roman"/>
          <w:color w:val="333333"/>
          <w:kern w:val="0"/>
          <w:sz w:val="32"/>
          <w:szCs w:val="32"/>
        </w:rPr>
        <w:t>效，以湘商产业园、</w:t>
      </w:r>
      <w:r>
        <w:rPr>
          <w:rFonts w:hint="eastAsia" w:ascii="FangSong_GB2312" w:hAnsi="仿宋" w:eastAsia="FangSong_GB2312"/>
          <w:color w:val="333333"/>
          <w:sz w:val="32"/>
          <w:szCs w:val="32"/>
        </w:rPr>
        <w:t>袁家团国家木竹产业示范园</w:t>
      </w:r>
      <w:r>
        <w:rPr>
          <w:rFonts w:hint="eastAsia" w:ascii="FangSong_GB2312" w:hAnsi="仿宋" w:eastAsia="FangSong_GB2312" w:cs="Times New Roman"/>
          <w:color w:val="333333"/>
          <w:kern w:val="0"/>
          <w:sz w:val="32"/>
          <w:szCs w:val="32"/>
        </w:rPr>
        <w:t>、</w:t>
      </w:r>
      <w:r>
        <w:rPr>
          <w:rFonts w:hint="eastAsia" w:ascii="FangSong_GB2312" w:hAnsi="仿宋" w:eastAsia="FangSong_GB2312"/>
          <w:color w:val="333333"/>
          <w:sz w:val="32"/>
          <w:szCs w:val="32"/>
        </w:rPr>
        <w:t>电子产业园</w:t>
      </w:r>
      <w:r>
        <w:rPr>
          <w:rFonts w:hint="eastAsia" w:ascii="FangSong_GB2312" w:hAnsi="仿宋" w:eastAsia="FangSong_GB2312" w:cs="Times New Roman"/>
          <w:color w:val="333333"/>
          <w:kern w:val="0"/>
          <w:sz w:val="32"/>
          <w:szCs w:val="32"/>
        </w:rPr>
        <w:t>等园区为财源培育的核心载体，</w:t>
      </w:r>
      <w:r>
        <w:rPr>
          <w:rFonts w:hint="eastAsia" w:ascii="FangSong_GB2312" w:hAnsi="仿宋" w:eastAsia="FangSong_GB2312"/>
          <w:color w:val="333333"/>
          <w:sz w:val="32"/>
          <w:szCs w:val="32"/>
        </w:rPr>
        <w:t>支持中集、丰源、银山做大做强集装箱板、竹滑板、竹餐具等产业，力争引进一批竹笋、竹炭企业，推动产业链配套发展；</w:t>
      </w:r>
      <w:r>
        <w:rPr>
          <w:rFonts w:hint="eastAsia" w:ascii="FangSong_GB2312" w:hAnsi="仿宋" w:eastAsia="FangSong_GB2312"/>
          <w:color w:val="000000"/>
          <w:sz w:val="32"/>
          <w:szCs w:val="32"/>
        </w:rPr>
        <w:t>组建服务于园区企业的物流运输企业、电商平台等企业；依托黄桑自然保护区、堡子岭国家森林康养基地、上堡古国生态旅游和县内养老医疗机构资源，</w:t>
      </w:r>
      <w:r>
        <w:rPr>
          <w:rFonts w:hint="eastAsia" w:ascii="FangSong_GB2312" w:hAnsi="仿宋" w:eastAsia="FangSong_GB2312"/>
          <w:color w:val="000000"/>
          <w:spacing w:val="-6"/>
          <w:sz w:val="32"/>
          <w:szCs w:val="32"/>
        </w:rPr>
        <w:t>推动医疗、养老、休闲旅游整合，探索森林康养服务业实体运营</w:t>
      </w:r>
      <w:r>
        <w:rPr>
          <w:rFonts w:hint="eastAsia" w:ascii="FangSong_GB2312" w:hAnsi="仿宋" w:eastAsia="FangSong_GB2312"/>
          <w:color w:val="000000"/>
          <w:sz w:val="32"/>
          <w:szCs w:val="32"/>
        </w:rPr>
        <w:t>；</w:t>
      </w:r>
      <w:r>
        <w:rPr>
          <w:rFonts w:hint="eastAsia" w:ascii="FangSong_GB2312" w:hAnsi="仿宋" w:eastAsia="FangSong_GB2312" w:cs="Times New Roman"/>
          <w:color w:val="333333"/>
          <w:kern w:val="0"/>
          <w:sz w:val="32"/>
          <w:szCs w:val="32"/>
        </w:rPr>
        <w:t>全面提升旅游、地方金融、农村电商、现代物流等生产性与生活性服务业发展水平，提</w:t>
      </w:r>
      <w:r>
        <w:rPr>
          <w:rFonts w:hint="eastAsia" w:ascii="FangSong_GB2312" w:hAnsi="仿宋" w:eastAsia="仿宋" w:cs="Times New Roman"/>
          <w:color w:val="333333"/>
          <w:kern w:val="0"/>
          <w:sz w:val="32"/>
          <w:szCs w:val="32"/>
        </w:rPr>
        <w:t>髙</w:t>
      </w:r>
      <w:r>
        <w:rPr>
          <w:rFonts w:hint="eastAsia" w:ascii="FangSong_GB2312" w:hAnsi="仿宋" w:eastAsia="FangSong_GB2312" w:cs="Times New Roman"/>
          <w:color w:val="333333"/>
          <w:kern w:val="0"/>
          <w:sz w:val="32"/>
          <w:szCs w:val="32"/>
        </w:rPr>
        <w:t>财税贡献率。积极争取中央及省里对我县作为国家重点生态功能区所给予的均衡性转移支付资金，推动生态文明建设。</w:t>
      </w:r>
    </w:p>
    <w:p>
      <w:pPr>
        <w:widowControl/>
        <w:shd w:val="clear" w:color="auto" w:fill="FFFFFF"/>
        <w:adjustRightInd w:val="0"/>
        <w:snapToGrid w:val="0"/>
        <w:spacing w:beforeLines="50" w:line="600" w:lineRule="exact"/>
        <w:ind w:firstLine="630" w:firstLineChars="196"/>
        <w:rPr>
          <w:rFonts w:ascii="FangSong_GB2312" w:hAnsi="仿宋" w:eastAsia="FangSong_GB2312" w:cs="Times New Roman"/>
          <w:color w:val="333333"/>
          <w:kern w:val="0"/>
          <w:sz w:val="32"/>
          <w:szCs w:val="32"/>
        </w:rPr>
      </w:pPr>
      <w:r>
        <w:rPr>
          <w:rFonts w:hint="eastAsia" w:ascii="FangSong_GB2312" w:hAnsi="仿宋" w:eastAsia="FangSong_GB2312" w:cs="Times New Roman"/>
          <w:b/>
          <w:color w:val="333333"/>
          <w:kern w:val="0"/>
          <w:sz w:val="32"/>
          <w:szCs w:val="32"/>
        </w:rPr>
        <w:t>2、财政支出思路。</w:t>
      </w:r>
      <w:r>
        <w:rPr>
          <w:rFonts w:hint="eastAsia" w:ascii="FangSong_GB2312" w:hAnsi="仿宋" w:eastAsia="FangSong_GB2312" w:cs="Times New Roman"/>
          <w:color w:val="333333"/>
          <w:kern w:val="0"/>
          <w:sz w:val="32"/>
          <w:szCs w:val="32"/>
        </w:rPr>
        <w:t>合理界定政府职能及财政支出责任范围，继续加大对落后乡镇和困难群众帮扶力度，促进城乡共同发展、区域协调发展，让小康成果普惠所有民众；把</w:t>
      </w:r>
      <w:r>
        <w:rPr>
          <w:rFonts w:hint="eastAsia" w:ascii="FangSong_GB2312" w:hAnsi="仿宋" w:eastAsia="FangSong_GB2312"/>
          <w:bCs/>
          <w:color w:val="000000" w:themeColor="text1"/>
          <w:sz w:val="32"/>
          <w:szCs w:val="32"/>
          <w14:textFill>
            <w14:solidFill>
              <w14:schemeClr w14:val="tx1"/>
            </w14:solidFill>
          </w14:textFill>
        </w:rPr>
        <w:t>巩固脱贫攻坚成果、守住“六保”底线作为财政</w:t>
      </w:r>
      <w:r>
        <w:rPr>
          <w:rFonts w:hint="eastAsia" w:ascii="FangSong_GB2312" w:hAnsi="仿宋" w:eastAsia="FangSong_GB2312" w:cs="Times New Roman"/>
          <w:color w:val="333333"/>
          <w:kern w:val="0"/>
          <w:sz w:val="32"/>
          <w:szCs w:val="32"/>
        </w:rPr>
        <w:t>支出的重中之重。进一步提高社会保障水平和社会公共服务能力；加大对农副产品深加工产业、特色优势产业和旅游、地方金融、农村电商、现代物流等新型业态、新经济增长点的引导性支出；调整和优化农业的补贴性支出；加大基础设施建设投入，保障主体功能区建设；适当压缩行政管理性支出。</w:t>
      </w:r>
    </w:p>
    <w:p>
      <w:pPr>
        <w:widowControl/>
        <w:shd w:val="clear" w:color="auto" w:fill="FFFFFF"/>
        <w:adjustRightInd w:val="0"/>
        <w:snapToGrid w:val="0"/>
        <w:spacing w:beforeLines="50" w:line="600" w:lineRule="exact"/>
        <w:ind w:firstLine="630" w:firstLineChars="196"/>
        <w:rPr>
          <w:rFonts w:ascii="FangSong_GB2312" w:hAnsi="仿宋" w:eastAsia="FangSong_GB2312" w:cs="Times New Roman"/>
          <w:color w:val="000000" w:themeColor="text1"/>
          <w:kern w:val="0"/>
          <w:sz w:val="32"/>
          <w:szCs w:val="32"/>
          <w14:textFill>
            <w14:solidFill>
              <w14:schemeClr w14:val="tx1"/>
            </w14:solidFill>
          </w14:textFill>
        </w:rPr>
      </w:pPr>
      <w:r>
        <w:rPr>
          <w:rFonts w:hint="eastAsia" w:ascii="FangSong_GB2312" w:hAnsi="仿宋" w:eastAsia="FangSong_GB2312" w:cs="Times New Roman"/>
          <w:b/>
          <w:color w:val="000000" w:themeColor="text1"/>
          <w:kern w:val="0"/>
          <w:sz w:val="32"/>
          <w:szCs w:val="32"/>
          <w14:textFill>
            <w14:solidFill>
              <w14:schemeClr w14:val="tx1"/>
            </w14:solidFill>
          </w14:textFill>
        </w:rPr>
        <w:t>3、财政改革思路。</w:t>
      </w:r>
      <w:r>
        <w:rPr>
          <w:rFonts w:hint="eastAsia" w:ascii="FangSong_GB2312" w:hAnsi="仿宋" w:eastAsia="FangSong_GB2312" w:cs="Times New Roman"/>
          <w:color w:val="000000" w:themeColor="text1"/>
          <w:kern w:val="0"/>
          <w:sz w:val="32"/>
          <w:szCs w:val="32"/>
          <w14:textFill>
            <w14:solidFill>
              <w14:schemeClr w14:val="tx1"/>
            </w14:solidFill>
          </w14:textFill>
        </w:rPr>
        <w:t>以踏石留印、抓铁有痕的韧性，创造性推动财政改革迈向纵深。</w:t>
      </w:r>
      <w:r>
        <w:rPr>
          <w:rFonts w:hint="eastAsia" w:ascii="FangSong_GB2312" w:hAnsi="仿宋" w:eastAsia="FangSong_GB2312"/>
          <w:color w:val="000000" w:themeColor="text1"/>
          <w:sz w:val="32"/>
          <w:szCs w:val="32"/>
          <w:shd w:val="clear" w:color="auto" w:fill="FFFFFF"/>
          <w14:textFill>
            <w14:solidFill>
              <w14:schemeClr w14:val="tx1"/>
            </w14:solidFill>
          </w14:textFill>
        </w:rPr>
        <w:t>严格贯彻落实预算法，规范收入预算管理，建立项目</w:t>
      </w:r>
      <w:r>
        <w:rPr>
          <w:rFonts w:hint="eastAsia" w:ascii="FangSong_GB2312" w:hAnsi="仿宋" w:eastAsia="FangSong_GB2312" w:cs="Times New Roman"/>
          <w:color w:val="000000" w:themeColor="text1"/>
          <w:kern w:val="0"/>
          <w:sz w:val="32"/>
          <w:szCs w:val="32"/>
          <w14:textFill>
            <w14:solidFill>
              <w14:schemeClr w14:val="tx1"/>
            </w14:solidFill>
          </w14:textFill>
        </w:rPr>
        <w:t>支出分级管理制度，完善预算支出标准体系。以教育、科技、文化等重点民生专项为突破口，严格将绩效评价结果与预算安排及政策调整挂钩。建立健全财政审计联动机制，推进绩效管理工作与人大、纪检监察等部门信息共享；深化财政部门“放管服”改革。提升财政管理效能，深化政府采购制度改革，加快形成现代政府采购制度，按照省财政厅安排部署，进一步完善政府采购电子卖场在我县运营。规范政府购买服务管理。编制财政部门权责清单，实现权责清单同“三定”规定有机衔接，规范和约束履职行为。编制并公布行政事业性收费和政府性基金、证明事项等清单，实行动态管理，让权力在阳光下运行。</w:t>
      </w:r>
    </w:p>
    <w:p>
      <w:pPr>
        <w:widowControl/>
        <w:shd w:val="clear" w:color="auto" w:fill="FFFFFF"/>
        <w:adjustRightInd w:val="0"/>
        <w:snapToGrid w:val="0"/>
        <w:spacing w:beforeLines="50" w:line="600" w:lineRule="exact"/>
        <w:ind w:firstLine="630" w:firstLineChars="196"/>
        <w:jc w:val="left"/>
        <w:outlineLvl w:val="0"/>
        <w:rPr>
          <w:rFonts w:ascii="楷体" w:hAnsi="楷体" w:eastAsia="楷体" w:cs="宋体"/>
          <w:b/>
          <w:color w:val="333333"/>
          <w:kern w:val="0"/>
          <w:sz w:val="32"/>
          <w:szCs w:val="32"/>
        </w:rPr>
      </w:pPr>
      <w:r>
        <w:rPr>
          <w:rFonts w:ascii="Times New Roman" w:hAnsi="楷体" w:eastAsia="楷体" w:cs="Times New Roman"/>
          <w:b/>
          <w:color w:val="333333"/>
          <w:kern w:val="0"/>
          <w:sz w:val="32"/>
          <w:szCs w:val="32"/>
        </w:rPr>
        <w:t>（三）发展目标</w:t>
      </w:r>
    </w:p>
    <w:p>
      <w:pPr>
        <w:widowControl/>
        <w:shd w:val="clear" w:color="auto" w:fill="FFFFFF"/>
        <w:adjustRightInd w:val="0"/>
        <w:snapToGrid w:val="0"/>
        <w:spacing w:line="600" w:lineRule="exact"/>
        <w:ind w:firstLine="630" w:firstLineChars="196"/>
        <w:rPr>
          <w:rFonts w:ascii="FangSong_GB2312" w:hAnsi="仿宋" w:eastAsia="FangSong_GB2312" w:cs="宋体"/>
          <w:color w:val="333333"/>
          <w:kern w:val="0"/>
          <w:sz w:val="32"/>
          <w:szCs w:val="32"/>
        </w:rPr>
      </w:pPr>
      <w:r>
        <w:rPr>
          <w:rFonts w:hint="eastAsia" w:ascii="FangSong_GB2312" w:hAnsi="仿宋" w:eastAsia="FangSong_GB2312" w:cs="Times New Roman"/>
          <w:b/>
          <w:color w:val="333333"/>
          <w:kern w:val="0"/>
          <w:sz w:val="32"/>
          <w:szCs w:val="32"/>
        </w:rPr>
        <w:t>1、</w:t>
      </w:r>
      <w:r>
        <w:rPr>
          <w:rFonts w:hint="eastAsia" w:ascii="FangSong_GB2312" w:hAnsi="仿宋" w:eastAsia="FangSong_GB2312" w:cs="宋体"/>
          <w:b/>
          <w:color w:val="333333"/>
          <w:kern w:val="0"/>
          <w:sz w:val="32"/>
          <w:szCs w:val="32"/>
        </w:rPr>
        <w:t>财政收入目标。</w:t>
      </w:r>
      <w:r>
        <w:rPr>
          <w:rFonts w:hint="eastAsia" w:ascii="FangSong_GB2312" w:hAnsi="仿宋" w:eastAsia="FangSong_GB2312" w:cs="宋体"/>
          <w:color w:val="333333"/>
          <w:kern w:val="0"/>
          <w:sz w:val="32"/>
          <w:szCs w:val="32"/>
        </w:rPr>
        <w:t>到2025年末，全县</w:t>
      </w:r>
      <w:r>
        <w:rPr>
          <w:rFonts w:hint="eastAsia" w:ascii="FangSong_GB2312" w:hAnsi="仿宋" w:eastAsia="FangSong_GB2312" w:cs="宋体"/>
          <w:color w:val="333333"/>
          <w:kern w:val="0"/>
          <w:sz w:val="32"/>
          <w:szCs w:val="32"/>
          <w:lang w:eastAsia="zh-CN"/>
        </w:rPr>
        <w:t>财政总</w:t>
      </w:r>
      <w:r>
        <w:rPr>
          <w:rFonts w:hint="eastAsia" w:ascii="FangSong_GB2312" w:hAnsi="仿宋" w:eastAsia="FangSong_GB2312" w:cs="宋体"/>
          <w:color w:val="333333"/>
          <w:kern w:val="0"/>
          <w:sz w:val="32"/>
          <w:szCs w:val="32"/>
        </w:rPr>
        <w:t>收入突破</w:t>
      </w:r>
      <w:r>
        <w:rPr>
          <w:rFonts w:hint="eastAsia" w:ascii="FangSong_GB2312" w:hAnsi="仿宋" w:eastAsia="FangSong_GB2312" w:cs="宋体"/>
          <w:color w:val="333333"/>
          <w:kern w:val="0"/>
          <w:sz w:val="32"/>
          <w:szCs w:val="32"/>
          <w:lang w:val="en-US" w:eastAsia="zh-CN"/>
        </w:rPr>
        <w:t>5</w:t>
      </w:r>
      <w:r>
        <w:rPr>
          <w:rFonts w:hint="eastAsia" w:ascii="FangSong_GB2312" w:hAnsi="仿宋" w:eastAsia="FangSong_GB2312" w:cs="宋体"/>
          <w:color w:val="333333"/>
          <w:kern w:val="0"/>
          <w:sz w:val="32"/>
          <w:szCs w:val="32"/>
        </w:rPr>
        <w:t>亿元，年均增长</w:t>
      </w:r>
      <w:r>
        <w:rPr>
          <w:rFonts w:hint="eastAsia" w:ascii="FangSong_GB2312" w:hAnsi="仿宋" w:eastAsia="FangSong_GB2312" w:cs="宋体"/>
          <w:color w:val="333333"/>
          <w:kern w:val="0"/>
          <w:sz w:val="32"/>
          <w:szCs w:val="32"/>
          <w:lang w:val="en-US" w:eastAsia="zh-CN"/>
        </w:rPr>
        <w:t>7</w:t>
      </w:r>
      <w:r>
        <w:rPr>
          <w:rFonts w:hint="eastAsia" w:ascii="FangSong_GB2312" w:hAnsi="仿宋" w:eastAsia="FangSong_GB2312" w:cs="宋体"/>
          <w:color w:val="333333"/>
          <w:kern w:val="0"/>
          <w:sz w:val="32"/>
          <w:szCs w:val="32"/>
        </w:rPr>
        <w:t>%以上；</w:t>
      </w:r>
      <w:r>
        <w:rPr>
          <w:rFonts w:hint="eastAsia" w:ascii="FangSong_GB2312" w:hAnsi="仿宋" w:eastAsia="FangSong_GB2312" w:cs="宋体"/>
          <w:color w:val="333333"/>
          <w:kern w:val="0"/>
          <w:sz w:val="32"/>
          <w:szCs w:val="32"/>
          <w:lang w:eastAsia="zh-CN"/>
        </w:rPr>
        <w:t>地方</w:t>
      </w:r>
      <w:r>
        <w:rPr>
          <w:rFonts w:hint="eastAsia" w:ascii="FangSong_GB2312" w:hAnsi="仿宋" w:eastAsia="FangSong_GB2312" w:cs="宋体"/>
          <w:color w:val="333333"/>
          <w:kern w:val="0"/>
          <w:sz w:val="32"/>
          <w:szCs w:val="32"/>
        </w:rPr>
        <w:t>一般预算收入达到</w:t>
      </w:r>
      <w:r>
        <w:rPr>
          <w:rFonts w:hint="eastAsia" w:ascii="FangSong_GB2312" w:hAnsi="仿宋" w:eastAsia="FangSong_GB2312" w:cs="宋体"/>
          <w:color w:val="333333"/>
          <w:kern w:val="0"/>
          <w:sz w:val="32"/>
          <w:szCs w:val="32"/>
          <w:lang w:val="en-US" w:eastAsia="zh-CN"/>
        </w:rPr>
        <w:t>2.5</w:t>
      </w:r>
      <w:r>
        <w:rPr>
          <w:rFonts w:hint="eastAsia" w:ascii="FangSong_GB2312" w:hAnsi="仿宋" w:eastAsia="FangSong_GB2312" w:cs="宋体"/>
          <w:color w:val="333333"/>
          <w:kern w:val="0"/>
          <w:sz w:val="32"/>
          <w:szCs w:val="32"/>
        </w:rPr>
        <w:t>亿元，年均增长</w:t>
      </w:r>
      <w:r>
        <w:rPr>
          <w:rFonts w:hint="eastAsia" w:ascii="FangSong_GB2312" w:hAnsi="仿宋" w:eastAsia="FangSong_GB2312" w:cs="宋体"/>
          <w:color w:val="333333"/>
          <w:kern w:val="0"/>
          <w:sz w:val="32"/>
          <w:szCs w:val="32"/>
          <w:lang w:val="en-US" w:eastAsia="zh-CN"/>
        </w:rPr>
        <w:t>7</w:t>
      </w:r>
      <w:r>
        <w:rPr>
          <w:rFonts w:hint="eastAsia" w:ascii="FangSong_GB2312" w:hAnsi="仿宋" w:eastAsia="FangSong_GB2312" w:cs="宋体"/>
          <w:color w:val="333333"/>
          <w:kern w:val="0"/>
          <w:sz w:val="32"/>
          <w:szCs w:val="32"/>
        </w:rPr>
        <w:t>%以上。税收收入占</w:t>
      </w:r>
      <w:r>
        <w:rPr>
          <w:rFonts w:hint="eastAsia" w:ascii="FangSong_GB2312" w:hAnsi="仿宋" w:eastAsia="FangSong_GB2312" w:cs="宋体"/>
          <w:color w:val="333333"/>
          <w:kern w:val="0"/>
          <w:sz w:val="32"/>
          <w:szCs w:val="32"/>
          <w:lang w:eastAsia="zh-CN"/>
        </w:rPr>
        <w:t>地方</w:t>
      </w:r>
      <w:r>
        <w:rPr>
          <w:rFonts w:hint="eastAsia" w:ascii="FangSong_GB2312" w:hAnsi="仿宋" w:eastAsia="FangSong_GB2312" w:cs="宋体"/>
          <w:color w:val="333333"/>
          <w:kern w:val="0"/>
          <w:sz w:val="32"/>
          <w:szCs w:val="32"/>
        </w:rPr>
        <w:t>一般预算收入的比重不低于7</w:t>
      </w:r>
      <w:r>
        <w:rPr>
          <w:rFonts w:hint="eastAsia" w:ascii="FangSong_GB2312" w:hAnsi="仿宋" w:eastAsia="FangSong_GB2312" w:cs="宋体"/>
          <w:color w:val="333333"/>
          <w:kern w:val="0"/>
          <w:sz w:val="32"/>
          <w:szCs w:val="32"/>
          <w:lang w:val="en-US" w:eastAsia="zh-CN"/>
        </w:rPr>
        <w:t>3.75</w:t>
      </w:r>
      <w:r>
        <w:rPr>
          <w:rFonts w:hint="eastAsia" w:ascii="FangSong_GB2312" w:hAnsi="仿宋" w:eastAsia="FangSong_GB2312" w:cs="宋体"/>
          <w:color w:val="333333"/>
          <w:kern w:val="0"/>
          <w:sz w:val="32"/>
          <w:szCs w:val="32"/>
        </w:rPr>
        <w:t>%。</w:t>
      </w:r>
    </w:p>
    <w:p>
      <w:pPr>
        <w:widowControl/>
        <w:shd w:val="clear" w:color="auto" w:fill="FFFFFF"/>
        <w:adjustRightInd w:val="0"/>
        <w:snapToGrid w:val="0"/>
        <w:spacing w:line="600" w:lineRule="exact"/>
        <w:ind w:firstLine="630" w:firstLineChars="196"/>
        <w:rPr>
          <w:rFonts w:ascii="FangSong_GB2312" w:hAnsi="仿宋" w:eastAsia="FangSong_GB2312" w:cs="宋体"/>
          <w:color w:val="333333"/>
          <w:kern w:val="0"/>
          <w:sz w:val="32"/>
          <w:szCs w:val="32"/>
        </w:rPr>
      </w:pPr>
      <w:r>
        <w:rPr>
          <w:rFonts w:hint="eastAsia" w:ascii="FangSong_GB2312" w:hAnsi="仿宋" w:eastAsia="FangSong_GB2312" w:cs="Times New Roman"/>
          <w:b/>
          <w:color w:val="333333"/>
          <w:kern w:val="0"/>
          <w:sz w:val="32"/>
          <w:szCs w:val="32"/>
        </w:rPr>
        <w:t>2、</w:t>
      </w:r>
      <w:r>
        <w:rPr>
          <w:rFonts w:hint="eastAsia" w:ascii="FangSong_GB2312" w:hAnsi="仿宋" w:eastAsia="FangSong_GB2312" w:cs="宋体"/>
          <w:b/>
          <w:color w:val="333333"/>
          <w:kern w:val="0"/>
          <w:sz w:val="32"/>
          <w:szCs w:val="32"/>
        </w:rPr>
        <w:t>财政支出目标。</w:t>
      </w:r>
      <w:r>
        <w:rPr>
          <w:rFonts w:hint="eastAsia" w:ascii="FangSong_GB2312" w:hAnsi="仿宋" w:eastAsia="FangSong_GB2312" w:cs="宋体"/>
          <w:color w:val="333333"/>
          <w:kern w:val="0"/>
          <w:sz w:val="32"/>
          <w:szCs w:val="32"/>
        </w:rPr>
        <w:t>到2025年末，全县一般预算总支出达到40.8亿元，年均增长5.0%以上。民生支出占公共支出的比重不低于73.0%。</w:t>
      </w:r>
    </w:p>
    <w:p>
      <w:pPr>
        <w:widowControl/>
        <w:shd w:val="clear" w:color="auto" w:fill="FFFFFF"/>
        <w:adjustRightInd w:val="0"/>
        <w:snapToGrid w:val="0"/>
        <w:spacing w:line="600" w:lineRule="exact"/>
        <w:ind w:firstLine="630" w:firstLineChars="196"/>
        <w:rPr>
          <w:rFonts w:ascii="FangSong_GB2312" w:hAnsi="仿宋" w:eastAsia="FangSong_GB2312" w:cs="宋体"/>
          <w:color w:val="333333"/>
          <w:kern w:val="0"/>
          <w:sz w:val="32"/>
          <w:szCs w:val="32"/>
        </w:rPr>
      </w:pPr>
      <w:r>
        <w:rPr>
          <w:rFonts w:hint="eastAsia" w:ascii="FangSong_GB2312" w:hAnsi="仿宋" w:eastAsia="FangSong_GB2312" w:cs="Times New Roman"/>
          <w:b/>
          <w:color w:val="333333"/>
          <w:kern w:val="0"/>
          <w:sz w:val="32"/>
          <w:szCs w:val="32"/>
        </w:rPr>
        <w:t>3、</w:t>
      </w:r>
      <w:r>
        <w:rPr>
          <w:rFonts w:hint="eastAsia" w:ascii="FangSong_GB2312" w:hAnsi="仿宋" w:eastAsia="FangSong_GB2312" w:cs="宋体"/>
          <w:b/>
          <w:color w:val="333333"/>
          <w:kern w:val="0"/>
          <w:sz w:val="32"/>
          <w:szCs w:val="32"/>
        </w:rPr>
        <w:t>财政管理目标。</w:t>
      </w:r>
      <w:r>
        <w:rPr>
          <w:rFonts w:hint="eastAsia" w:ascii="FangSong_GB2312" w:hAnsi="仿宋" w:eastAsia="FangSong_GB2312" w:cs="宋体"/>
          <w:color w:val="333333"/>
          <w:kern w:val="0"/>
          <w:sz w:val="32"/>
          <w:szCs w:val="32"/>
        </w:rPr>
        <w:t>加快推进财税体制改革，合理划分政府间事权和支出责任，建立事权和支出责任相适应的财政管理新机制。优化财政支出结构，加大民生资金投入，促进社会事业较快发展，提升人民群众幸福指数。</w:t>
      </w:r>
    </w:p>
    <w:p>
      <w:pPr>
        <w:widowControl/>
        <w:shd w:val="clear" w:color="auto" w:fill="FFFFFF"/>
        <w:adjustRightInd w:val="0"/>
        <w:snapToGrid w:val="0"/>
        <w:spacing w:beforeLines="100" w:line="360" w:lineRule="auto"/>
        <w:jc w:val="center"/>
        <w:rPr>
          <w:rFonts w:ascii="黑体" w:hAnsi="黑体" w:eastAsia="黑体" w:cs="宋体"/>
          <w:color w:val="333333"/>
          <w:kern w:val="0"/>
          <w:sz w:val="28"/>
          <w:szCs w:val="28"/>
        </w:rPr>
      </w:pPr>
      <w:r>
        <w:rPr>
          <w:rFonts w:ascii="黑体" w:hAnsi="黑体" w:eastAsia="黑体" w:cs="宋体"/>
          <w:color w:val="333333"/>
          <w:kern w:val="0"/>
          <w:sz w:val="28"/>
          <w:szCs w:val="28"/>
        </w:rPr>
        <w:t>表</w:t>
      </w:r>
      <w:r>
        <w:rPr>
          <w:rFonts w:hint="eastAsia" w:ascii="Times New Roman" w:hAnsi="Times New Roman" w:eastAsia="黑体" w:cs="Times New Roman"/>
          <w:color w:val="333333"/>
          <w:kern w:val="0"/>
          <w:sz w:val="28"/>
          <w:szCs w:val="28"/>
        </w:rPr>
        <w:t>2</w:t>
      </w:r>
      <w:r>
        <w:rPr>
          <w:rFonts w:ascii="黑体" w:hAnsi="黑体" w:eastAsia="黑体" w:cs="宋体"/>
          <w:color w:val="333333"/>
          <w:kern w:val="0"/>
          <w:sz w:val="28"/>
          <w:szCs w:val="28"/>
        </w:rPr>
        <w:t>：绥宁县“十四五”财政发展目标</w:t>
      </w:r>
    </w:p>
    <w:tbl>
      <w:tblPr>
        <w:tblStyle w:val="16"/>
        <w:tblW w:w="88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3379"/>
        <w:gridCol w:w="1175"/>
        <w:gridCol w:w="1175"/>
        <w:gridCol w:w="1180"/>
        <w:gridCol w:w="10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8" w:hRule="atLeast"/>
        </w:trPr>
        <w:tc>
          <w:tcPr>
            <w:tcW w:w="846"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指标范畴</w:t>
            </w:r>
          </w:p>
        </w:tc>
        <w:tc>
          <w:tcPr>
            <w:tcW w:w="3379"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指标名称</w:t>
            </w:r>
          </w:p>
        </w:tc>
        <w:tc>
          <w:tcPr>
            <w:tcW w:w="1175"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Times New Roman" w:eastAsia="FangSong_GB2312" w:cs="Times New Roman"/>
                <w:color w:val="333333"/>
                <w:kern w:val="0"/>
                <w:sz w:val="24"/>
                <w:szCs w:val="24"/>
              </w:rPr>
              <w:t>20</w:t>
            </w:r>
            <w:r>
              <w:rPr>
                <w:rFonts w:hint="eastAsia" w:ascii="FangSong_GB2312" w:hAnsi="Times New Roman" w:cs="Times New Roman"/>
                <w:color w:val="333333"/>
                <w:kern w:val="0"/>
                <w:sz w:val="24"/>
                <w:szCs w:val="24"/>
              </w:rPr>
              <w:t>20</w:t>
            </w:r>
            <w:r>
              <w:rPr>
                <w:rFonts w:hint="eastAsia" w:ascii="FangSong_GB2312" w:hAnsi="仿宋" w:eastAsia="FangSong_GB2312" w:cs="宋体"/>
                <w:color w:val="333333"/>
                <w:kern w:val="0"/>
                <w:sz w:val="24"/>
                <w:szCs w:val="24"/>
              </w:rPr>
              <w:t>年</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现状</w:t>
            </w:r>
          </w:p>
        </w:tc>
        <w:tc>
          <w:tcPr>
            <w:tcW w:w="1175"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Times New Roman" w:eastAsia="FangSong_GB2312" w:cs="Times New Roman"/>
                <w:color w:val="333333"/>
                <w:kern w:val="0"/>
                <w:sz w:val="24"/>
                <w:szCs w:val="24"/>
              </w:rPr>
              <w:t>2025</w:t>
            </w:r>
            <w:r>
              <w:rPr>
                <w:rFonts w:hint="eastAsia" w:ascii="FangSong_GB2312" w:hAnsi="仿宋" w:eastAsia="FangSong_GB2312" w:cs="宋体"/>
                <w:color w:val="333333"/>
                <w:kern w:val="0"/>
                <w:sz w:val="24"/>
                <w:szCs w:val="24"/>
              </w:rPr>
              <w:t>年</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目标</w:t>
            </w:r>
          </w:p>
        </w:tc>
        <w:tc>
          <w:tcPr>
            <w:tcW w:w="1180"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年均增长</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000000" w:themeColor="text1"/>
                <w:kern w:val="0"/>
                <w:sz w:val="24"/>
                <w:szCs w:val="24"/>
                <w14:textFill>
                  <w14:solidFill>
                    <w14:schemeClr w14:val="tx1"/>
                  </w14:solidFill>
                </w14:textFill>
              </w:rPr>
              <w:t>（%）</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指标</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属性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9" w:hRule="atLeast"/>
        </w:trPr>
        <w:tc>
          <w:tcPr>
            <w:tcW w:w="846" w:type="dxa"/>
            <w:vMerge w:val="restart"/>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财政</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收入</w:t>
            </w: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lang w:eastAsia="zh-CN"/>
              </w:rPr>
              <w:t>财政总收入</w:t>
            </w:r>
            <w:r>
              <w:rPr>
                <w:rFonts w:hint="eastAsia" w:ascii="FangSong_GB2312" w:hAnsi="仿宋" w:eastAsia="FangSong_GB2312" w:cs="宋体"/>
                <w:color w:val="000000" w:themeColor="text1"/>
                <w:kern w:val="0"/>
                <w:sz w:val="24"/>
                <w:szCs w:val="24"/>
                <w14:textFill>
                  <w14:solidFill>
                    <w14:schemeClr w14:val="tx1"/>
                  </w14:solidFill>
                </w14:textFill>
              </w:rPr>
              <w:t>（万元）</w:t>
            </w:r>
          </w:p>
        </w:tc>
        <w:tc>
          <w:tcPr>
            <w:tcW w:w="1175" w:type="dxa"/>
            <w:vAlign w:val="center"/>
          </w:tcPr>
          <w:p>
            <w:pPr>
              <w:widowControl/>
              <w:adjustRightInd w:val="0"/>
              <w:snapToGrid w:val="0"/>
              <w:jc w:val="center"/>
              <w:rPr>
                <w:rFonts w:ascii="FangSong_GB2312" w:hAnsi="Times New Roman" w:cs="Times New Roman"/>
                <w:color w:val="333333"/>
                <w:kern w:val="0"/>
                <w:sz w:val="24"/>
                <w:szCs w:val="24"/>
              </w:rPr>
            </w:pPr>
            <w:r>
              <w:rPr>
                <w:rFonts w:hint="eastAsia" w:ascii="FangSong_GB2312" w:hAnsi="Times New Roman" w:cs="Times New Roman"/>
                <w:color w:val="333333"/>
                <w:kern w:val="0"/>
                <w:sz w:val="24"/>
                <w:szCs w:val="24"/>
              </w:rPr>
              <w:t>28239</w:t>
            </w:r>
          </w:p>
        </w:tc>
        <w:tc>
          <w:tcPr>
            <w:tcW w:w="1175" w:type="dxa"/>
            <w:vAlign w:val="center"/>
          </w:tcPr>
          <w:p>
            <w:pPr>
              <w:widowControl/>
              <w:adjustRightInd w:val="0"/>
              <w:snapToGrid w:val="0"/>
              <w:jc w:val="center"/>
              <w:rPr>
                <w:rFonts w:hint="eastAsia" w:ascii="FangSong_GB2312" w:hAnsi="Times New Roman" w:cs="Times New Roman" w:eastAsiaTheme="minorEastAsia"/>
                <w:color w:val="333333"/>
                <w:kern w:val="0"/>
                <w:sz w:val="24"/>
                <w:szCs w:val="24"/>
                <w:lang w:val="en-US" w:eastAsia="zh-CN"/>
              </w:rPr>
            </w:pPr>
            <w:r>
              <w:rPr>
                <w:rFonts w:hint="eastAsia" w:ascii="FangSong_GB2312" w:hAnsi="Times New Roman" w:cs="Times New Roman"/>
                <w:color w:val="333333"/>
                <w:kern w:val="0"/>
                <w:sz w:val="24"/>
                <w:szCs w:val="24"/>
                <w:lang w:val="en-US" w:eastAsia="zh-CN"/>
              </w:rPr>
              <w:t>50000</w:t>
            </w:r>
          </w:p>
        </w:tc>
        <w:tc>
          <w:tcPr>
            <w:tcW w:w="1180" w:type="dxa"/>
            <w:vAlign w:val="center"/>
          </w:tcPr>
          <w:p>
            <w:pPr>
              <w:widowControl/>
              <w:adjustRightInd w:val="0"/>
              <w:snapToGrid w:val="0"/>
              <w:jc w:val="center"/>
              <w:rPr>
                <w:rFonts w:hint="eastAsia" w:ascii="FangSong_GB2312" w:hAnsi="Times New Roman" w:eastAsia="FangSong_GB2312" w:cs="Times New Roman"/>
                <w:color w:val="333333"/>
                <w:kern w:val="0"/>
                <w:sz w:val="24"/>
                <w:szCs w:val="24"/>
                <w:lang w:eastAsia="zh-CN"/>
              </w:rPr>
            </w:pPr>
            <w:r>
              <w:rPr>
                <w:rFonts w:hint="eastAsia" w:ascii="FangSong_GB2312" w:hAnsi="Times New Roman" w:eastAsia="FangSong_GB2312" w:cs="Times New Roman"/>
                <w:color w:val="333333"/>
                <w:kern w:val="0"/>
                <w:sz w:val="24"/>
                <w:szCs w:val="24"/>
                <w:lang w:val="en-US" w:eastAsia="zh-CN"/>
              </w:rPr>
              <w:t>7</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vAlign w:val="center"/>
          </w:tcPr>
          <w:p>
            <w:pPr>
              <w:widowControl/>
              <w:adjustRightInd w:val="0"/>
              <w:snapToGrid w:val="0"/>
              <w:jc w:val="center"/>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人均财政收入（元/人）</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1388</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1764</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4.01</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vAlign w:val="center"/>
          </w:tcPr>
          <w:p>
            <w:pPr>
              <w:widowControl/>
              <w:adjustRightInd w:val="0"/>
              <w:snapToGrid w:val="0"/>
              <w:jc w:val="center"/>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000000" w:themeColor="text1"/>
                <w:kern w:val="0"/>
                <w:sz w:val="24"/>
                <w:szCs w:val="24"/>
                <w14:textFill>
                  <w14:solidFill>
                    <w14:schemeClr w14:val="tx1"/>
                  </w14:solidFill>
                </w14:textFill>
              </w:rPr>
            </w:pPr>
            <w:r>
              <w:rPr>
                <w:rFonts w:hint="eastAsia" w:ascii="FangSong_GB2312" w:hAnsi="仿宋" w:eastAsia="FangSong_GB2312" w:cs="宋体"/>
                <w:color w:val="000000" w:themeColor="text1"/>
                <w:kern w:val="0"/>
                <w:sz w:val="24"/>
                <w:szCs w:val="24"/>
                <w14:textFill>
                  <w14:solidFill>
                    <w14:schemeClr w14:val="tx1"/>
                  </w14:solidFill>
                </w14:textFill>
              </w:rPr>
              <w:t>财政收入占GDP比重（%）</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5.38</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7.2</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5.0</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vAlign w:val="center"/>
          </w:tcPr>
          <w:p>
            <w:pPr>
              <w:widowControl/>
              <w:adjustRightInd w:val="0"/>
              <w:snapToGrid w:val="0"/>
              <w:jc w:val="center"/>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lang w:eastAsia="zh-CN"/>
              </w:rPr>
              <w:t>地方</w:t>
            </w:r>
            <w:r>
              <w:rPr>
                <w:rFonts w:hint="eastAsia" w:ascii="FangSong_GB2312" w:hAnsi="仿宋" w:eastAsia="FangSong_GB2312" w:cs="宋体"/>
                <w:color w:val="333333"/>
                <w:kern w:val="0"/>
                <w:sz w:val="24"/>
                <w:szCs w:val="24"/>
              </w:rPr>
              <w:t>一般预算收入</w:t>
            </w:r>
            <w:r>
              <w:rPr>
                <w:rFonts w:hint="eastAsia" w:ascii="FangSong_GB2312" w:hAnsi="仿宋" w:eastAsia="FangSong_GB2312" w:cs="宋体"/>
                <w:color w:val="000000" w:themeColor="text1"/>
                <w:kern w:val="0"/>
                <w:sz w:val="24"/>
                <w:szCs w:val="24"/>
                <w14:textFill>
                  <w14:solidFill>
                    <w14:schemeClr w14:val="tx1"/>
                  </w14:solidFill>
                </w14:textFill>
              </w:rPr>
              <w:t>（万元）</w:t>
            </w:r>
          </w:p>
        </w:tc>
        <w:tc>
          <w:tcPr>
            <w:tcW w:w="1175" w:type="dxa"/>
            <w:vAlign w:val="center"/>
          </w:tcPr>
          <w:p>
            <w:pPr>
              <w:widowControl/>
              <w:adjustRightInd w:val="0"/>
              <w:snapToGrid w:val="0"/>
              <w:jc w:val="center"/>
              <w:rPr>
                <w:rFonts w:ascii="FangSong_GB2312" w:hAnsi="Times New Roman" w:cs="Times New Roman"/>
                <w:color w:val="333333"/>
                <w:kern w:val="0"/>
                <w:sz w:val="24"/>
                <w:szCs w:val="24"/>
              </w:rPr>
            </w:pPr>
            <w:r>
              <w:rPr>
                <w:rFonts w:hint="eastAsia" w:ascii="FangSong_GB2312" w:hAnsi="Times New Roman" w:cs="Times New Roman"/>
                <w:color w:val="333333"/>
                <w:kern w:val="0"/>
                <w:sz w:val="24"/>
                <w:szCs w:val="24"/>
              </w:rPr>
              <w:t>17870</w:t>
            </w:r>
          </w:p>
        </w:tc>
        <w:tc>
          <w:tcPr>
            <w:tcW w:w="1175" w:type="dxa"/>
            <w:vAlign w:val="center"/>
          </w:tcPr>
          <w:p>
            <w:pPr>
              <w:widowControl/>
              <w:adjustRightInd w:val="0"/>
              <w:snapToGrid w:val="0"/>
              <w:jc w:val="center"/>
              <w:rPr>
                <w:rFonts w:hint="eastAsia" w:ascii="FangSong_GB2312" w:hAnsi="Times New Roman" w:cs="Times New Roman" w:eastAsiaTheme="minorEastAsia"/>
                <w:color w:val="333333"/>
                <w:kern w:val="0"/>
                <w:sz w:val="24"/>
                <w:szCs w:val="24"/>
                <w:lang w:val="en-US" w:eastAsia="zh-CN"/>
              </w:rPr>
            </w:pPr>
            <w:r>
              <w:rPr>
                <w:rFonts w:hint="eastAsia" w:ascii="FangSong_GB2312" w:hAnsi="Times New Roman" w:cs="Times New Roman"/>
                <w:color w:val="333333"/>
                <w:kern w:val="0"/>
                <w:sz w:val="24"/>
                <w:szCs w:val="24"/>
                <w:lang w:val="en-US" w:eastAsia="zh-CN"/>
              </w:rPr>
              <w:t>25105</w:t>
            </w:r>
          </w:p>
        </w:tc>
        <w:tc>
          <w:tcPr>
            <w:tcW w:w="1180" w:type="dxa"/>
            <w:vAlign w:val="center"/>
          </w:tcPr>
          <w:p>
            <w:pPr>
              <w:widowControl/>
              <w:adjustRightInd w:val="0"/>
              <w:snapToGrid w:val="0"/>
              <w:jc w:val="center"/>
              <w:rPr>
                <w:rFonts w:hint="eastAsia" w:ascii="FangSong_GB2312" w:hAnsi="Times New Roman" w:eastAsia="FangSong_GB2312" w:cs="Times New Roman"/>
                <w:color w:val="333333"/>
                <w:kern w:val="0"/>
                <w:sz w:val="24"/>
                <w:szCs w:val="24"/>
                <w:lang w:eastAsia="zh-CN"/>
              </w:rPr>
            </w:pPr>
            <w:r>
              <w:rPr>
                <w:rFonts w:hint="eastAsia" w:ascii="FangSong_GB2312" w:hAnsi="Times New Roman" w:eastAsia="FangSong_GB2312" w:cs="Times New Roman"/>
                <w:color w:val="333333"/>
                <w:kern w:val="0"/>
                <w:sz w:val="24"/>
                <w:szCs w:val="24"/>
                <w:lang w:val="en-US" w:eastAsia="zh-CN"/>
              </w:rPr>
              <w:t>7</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vAlign w:val="center"/>
          </w:tcPr>
          <w:p>
            <w:pPr>
              <w:widowControl/>
              <w:adjustRightInd w:val="0"/>
              <w:snapToGrid w:val="0"/>
              <w:jc w:val="center"/>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税收收入占比</w:t>
            </w:r>
            <w:r>
              <w:rPr>
                <w:rFonts w:hint="eastAsia" w:ascii="FangSong_GB2312" w:hAnsi="仿宋" w:eastAsia="FangSong_GB2312" w:cs="宋体"/>
                <w:color w:val="000000" w:themeColor="text1"/>
                <w:kern w:val="0"/>
                <w:sz w:val="24"/>
                <w:szCs w:val="24"/>
                <w14:textFill>
                  <w14:solidFill>
                    <w14:schemeClr w14:val="tx1"/>
                  </w14:solidFill>
                </w14:textFill>
              </w:rPr>
              <w:t>（%）</w:t>
            </w:r>
          </w:p>
        </w:tc>
        <w:tc>
          <w:tcPr>
            <w:tcW w:w="1175" w:type="dxa"/>
            <w:vAlign w:val="center"/>
          </w:tcPr>
          <w:p>
            <w:pPr>
              <w:widowControl/>
              <w:adjustRightInd w:val="0"/>
              <w:snapToGrid w:val="0"/>
              <w:jc w:val="center"/>
              <w:rPr>
                <w:rFonts w:hint="eastAsia" w:ascii="FangSong_GB2312" w:hAnsi="Times New Roman" w:eastAsia="FangSong_GB2312" w:cs="Times New Roman"/>
                <w:color w:val="333333"/>
                <w:kern w:val="0"/>
                <w:sz w:val="24"/>
                <w:szCs w:val="24"/>
                <w:lang w:val="en-US" w:eastAsia="zh-CN"/>
              </w:rPr>
            </w:pPr>
            <w:r>
              <w:rPr>
                <w:rFonts w:hint="eastAsia" w:ascii="FangSong_GB2312" w:hAnsi="Times New Roman" w:eastAsia="FangSong_GB2312" w:cs="Times New Roman"/>
                <w:color w:val="333333"/>
                <w:kern w:val="0"/>
                <w:sz w:val="24"/>
                <w:szCs w:val="24"/>
                <w:lang w:val="en-US" w:eastAsia="zh-CN"/>
              </w:rPr>
              <w:t>70.18</w:t>
            </w:r>
          </w:p>
        </w:tc>
        <w:tc>
          <w:tcPr>
            <w:tcW w:w="1175" w:type="dxa"/>
            <w:vAlign w:val="center"/>
          </w:tcPr>
          <w:p>
            <w:pPr>
              <w:widowControl/>
              <w:adjustRightInd w:val="0"/>
              <w:snapToGrid w:val="0"/>
              <w:jc w:val="center"/>
              <w:rPr>
                <w:rFonts w:hint="default" w:ascii="FangSong_GB2312" w:hAnsi="Times New Roman" w:eastAsia="FangSong_GB2312" w:cs="Times New Roman"/>
                <w:color w:val="333333"/>
                <w:kern w:val="0"/>
                <w:sz w:val="24"/>
                <w:szCs w:val="24"/>
                <w:lang w:val="en-US" w:eastAsia="zh-CN"/>
              </w:rPr>
            </w:pPr>
            <w:r>
              <w:rPr>
                <w:rFonts w:hint="eastAsia" w:ascii="FangSong_GB2312" w:hAnsi="Times New Roman" w:eastAsia="FangSong_GB2312" w:cs="Times New Roman"/>
                <w:color w:val="333333"/>
                <w:kern w:val="0"/>
                <w:sz w:val="24"/>
                <w:szCs w:val="24"/>
              </w:rPr>
              <w:t>7</w:t>
            </w:r>
            <w:r>
              <w:rPr>
                <w:rFonts w:hint="eastAsia" w:ascii="FangSong_GB2312" w:hAnsi="Times New Roman" w:eastAsia="FangSong_GB2312" w:cs="Times New Roman"/>
                <w:color w:val="333333"/>
                <w:kern w:val="0"/>
                <w:sz w:val="24"/>
                <w:szCs w:val="24"/>
                <w:lang w:val="en-US" w:eastAsia="zh-CN"/>
              </w:rPr>
              <w:t>3.75</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lang w:val="en-US" w:eastAsia="zh-CN"/>
              </w:rPr>
              <w:t>1</w:t>
            </w:r>
            <w:r>
              <w:rPr>
                <w:rFonts w:hint="eastAsia" w:ascii="FangSong_GB2312" w:hAnsi="Times New Roman" w:eastAsia="FangSong_GB2312" w:cs="Times New Roman"/>
                <w:color w:val="333333"/>
                <w:kern w:val="0"/>
                <w:sz w:val="24"/>
                <w:szCs w:val="24"/>
              </w:rPr>
              <w:t>.05</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vAlign w:val="center"/>
          </w:tcPr>
          <w:p>
            <w:pPr>
              <w:widowControl/>
              <w:adjustRightInd w:val="0"/>
              <w:snapToGrid w:val="0"/>
              <w:jc w:val="center"/>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000000" w:themeColor="text1"/>
                <w:kern w:val="0"/>
                <w:sz w:val="24"/>
                <w:szCs w:val="24"/>
                <w14:textFill>
                  <w14:solidFill>
                    <w14:schemeClr w14:val="tx1"/>
                  </w14:solidFill>
                </w14:textFill>
              </w:rPr>
              <w:t>人均一般预算收入（元/人）</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906</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1221</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5.10</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846" w:type="dxa"/>
            <w:vMerge w:val="restart"/>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财政支出</w:t>
            </w: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一般预算支出</w:t>
            </w:r>
            <w:r>
              <w:rPr>
                <w:rFonts w:hint="eastAsia" w:ascii="FangSong_GB2312" w:hAnsi="仿宋" w:eastAsia="FangSong_GB2312" w:cs="宋体"/>
                <w:color w:val="000000" w:themeColor="text1"/>
                <w:kern w:val="0"/>
                <w:sz w:val="24"/>
                <w:szCs w:val="24"/>
                <w14:textFill>
                  <w14:solidFill>
                    <w14:schemeClr w14:val="tx1"/>
                  </w14:solidFill>
                </w14:textFill>
              </w:rPr>
              <w:t>（万元）</w:t>
            </w:r>
          </w:p>
        </w:tc>
        <w:tc>
          <w:tcPr>
            <w:tcW w:w="1175" w:type="dxa"/>
            <w:vAlign w:val="center"/>
          </w:tcPr>
          <w:p>
            <w:pPr>
              <w:widowControl/>
              <w:adjustRightInd w:val="0"/>
              <w:snapToGrid w:val="0"/>
              <w:jc w:val="center"/>
              <w:rPr>
                <w:rFonts w:ascii="FangSong_GB2312" w:hAnsi="Times New Roman" w:cs="Times New Roman"/>
                <w:color w:val="333333"/>
                <w:kern w:val="0"/>
                <w:sz w:val="24"/>
                <w:szCs w:val="24"/>
              </w:rPr>
            </w:pPr>
            <w:r>
              <w:rPr>
                <w:rFonts w:hint="eastAsia" w:ascii="FangSong_GB2312" w:hAnsi="Times New Roman" w:eastAsia="FangSong_GB2312" w:cs="Times New Roman"/>
                <w:color w:val="333333"/>
                <w:kern w:val="0"/>
                <w:sz w:val="24"/>
                <w:szCs w:val="24"/>
              </w:rPr>
              <w:t>3</w:t>
            </w:r>
            <w:r>
              <w:rPr>
                <w:rFonts w:hint="eastAsia" w:ascii="FangSong_GB2312" w:hAnsi="Times New Roman" w:cs="Times New Roman"/>
                <w:color w:val="333333"/>
                <w:kern w:val="0"/>
                <w:sz w:val="24"/>
                <w:szCs w:val="24"/>
              </w:rPr>
              <w:t>28120</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408000</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5.0</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预期性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trPr>
        <w:tc>
          <w:tcPr>
            <w:tcW w:w="846" w:type="dxa"/>
            <w:vMerge w:val="continue"/>
          </w:tcPr>
          <w:p>
            <w:pPr>
              <w:widowControl/>
              <w:adjustRightInd w:val="0"/>
              <w:snapToGrid w:val="0"/>
              <w:jc w:val="left"/>
              <w:rPr>
                <w:rFonts w:ascii="FangSong_GB2312" w:hAnsi="仿宋" w:eastAsia="FangSong_GB2312" w:cs="宋体"/>
                <w:color w:val="333333"/>
                <w:kern w:val="0"/>
                <w:sz w:val="24"/>
                <w:szCs w:val="24"/>
              </w:rPr>
            </w:pPr>
          </w:p>
        </w:tc>
        <w:tc>
          <w:tcPr>
            <w:tcW w:w="3379" w:type="dxa"/>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民生支出占比</w:t>
            </w:r>
            <w:r>
              <w:rPr>
                <w:rFonts w:hint="eastAsia" w:ascii="FangSong_GB2312" w:hAnsi="仿宋" w:eastAsia="FangSong_GB2312" w:cs="宋体"/>
                <w:color w:val="000000" w:themeColor="text1"/>
                <w:kern w:val="0"/>
                <w:sz w:val="24"/>
                <w:szCs w:val="24"/>
                <w14:textFill>
                  <w14:solidFill>
                    <w14:schemeClr w14:val="tx1"/>
                  </w14:solidFill>
                </w14:textFill>
              </w:rPr>
              <w:t>（%）</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64.57</w:t>
            </w:r>
          </w:p>
        </w:tc>
        <w:tc>
          <w:tcPr>
            <w:tcW w:w="1175"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73.0</w:t>
            </w:r>
          </w:p>
        </w:tc>
        <w:tc>
          <w:tcPr>
            <w:tcW w:w="1180" w:type="dxa"/>
            <w:vAlign w:val="center"/>
          </w:tcPr>
          <w:p>
            <w:pPr>
              <w:widowControl/>
              <w:adjustRightInd w:val="0"/>
              <w:snapToGrid w:val="0"/>
              <w:jc w:val="center"/>
              <w:rPr>
                <w:rFonts w:ascii="FangSong_GB2312" w:hAnsi="Times New Roman" w:eastAsia="FangSong_GB2312" w:cs="Times New Roman"/>
                <w:color w:val="333333"/>
                <w:kern w:val="0"/>
                <w:sz w:val="24"/>
                <w:szCs w:val="24"/>
              </w:rPr>
            </w:pPr>
            <w:r>
              <w:rPr>
                <w:rFonts w:hint="eastAsia" w:ascii="FangSong_GB2312" w:hAnsi="Times New Roman" w:eastAsia="FangSong_GB2312" w:cs="Times New Roman"/>
                <w:color w:val="333333"/>
                <w:kern w:val="0"/>
                <w:sz w:val="24"/>
                <w:szCs w:val="24"/>
              </w:rPr>
              <w:t>2.07</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约束性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2" w:hRule="atLeast"/>
        </w:trPr>
        <w:tc>
          <w:tcPr>
            <w:tcW w:w="846"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财政改革</w:t>
            </w:r>
          </w:p>
        </w:tc>
        <w:tc>
          <w:tcPr>
            <w:tcW w:w="6909" w:type="dxa"/>
            <w:gridSpan w:val="4"/>
            <w:vAlign w:val="center"/>
          </w:tcPr>
          <w:p>
            <w:pPr>
              <w:widowControl/>
              <w:adjustRightInd w:val="0"/>
              <w:snapToGrid w:val="0"/>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2021年基本完成改革重点任务；</w:t>
            </w:r>
          </w:p>
          <w:p>
            <w:pPr>
              <w:widowControl/>
              <w:adjustRightInd w:val="0"/>
              <w:snapToGrid w:val="0"/>
              <w:rPr>
                <w:rFonts w:ascii="仿宋" w:hAnsi="仿宋" w:eastAsia="仿宋" w:cs="宋体"/>
                <w:color w:val="333333"/>
                <w:kern w:val="0"/>
                <w:sz w:val="24"/>
                <w:szCs w:val="24"/>
              </w:rPr>
            </w:pPr>
            <w:r>
              <w:rPr>
                <w:rFonts w:hint="eastAsia" w:ascii="FangSong_GB2312" w:hAnsi="仿宋" w:eastAsia="FangSong_GB2312" w:cs="宋体"/>
                <w:color w:val="333333"/>
                <w:kern w:val="0"/>
                <w:sz w:val="24"/>
                <w:szCs w:val="24"/>
              </w:rPr>
              <w:t>2025年基本建成现代公共财政制度。</w:t>
            </w:r>
          </w:p>
        </w:tc>
        <w:tc>
          <w:tcPr>
            <w:tcW w:w="1081" w:type="dxa"/>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333333"/>
                <w:kern w:val="0"/>
                <w:sz w:val="24"/>
                <w:szCs w:val="24"/>
              </w:rPr>
              <w:t>描述性</w:t>
            </w:r>
          </w:p>
        </w:tc>
      </w:tr>
    </w:tbl>
    <w:p>
      <w:pPr>
        <w:widowControl/>
        <w:shd w:val="clear" w:color="auto" w:fill="FFFFFF"/>
        <w:adjustRightInd w:val="0"/>
        <w:snapToGrid w:val="0"/>
        <w:spacing w:beforeLines="150" w:line="600" w:lineRule="exact"/>
        <w:jc w:val="center"/>
        <w:rPr>
          <w:rFonts w:ascii="黑体" w:hAnsi="黑体" w:eastAsia="黑体" w:cs="Times New Roman"/>
          <w:color w:val="333333"/>
          <w:kern w:val="0"/>
          <w:sz w:val="36"/>
          <w:szCs w:val="36"/>
        </w:rPr>
      </w:pPr>
    </w:p>
    <w:p>
      <w:pPr>
        <w:widowControl/>
        <w:shd w:val="clear" w:color="auto" w:fill="FFFFFF"/>
        <w:adjustRightInd w:val="0"/>
        <w:snapToGrid w:val="0"/>
        <w:spacing w:beforeLines="150" w:line="600" w:lineRule="exact"/>
        <w:jc w:val="center"/>
        <w:rPr>
          <w:rFonts w:ascii="黑体" w:hAnsi="黑体" w:eastAsia="黑体" w:cs="Times New Roman"/>
          <w:color w:val="333333"/>
          <w:kern w:val="0"/>
          <w:sz w:val="36"/>
          <w:szCs w:val="36"/>
        </w:rPr>
      </w:pPr>
    </w:p>
    <w:p>
      <w:pPr>
        <w:widowControl/>
        <w:shd w:val="clear" w:color="auto" w:fill="FFFFFF"/>
        <w:adjustRightInd w:val="0"/>
        <w:snapToGrid w:val="0"/>
        <w:spacing w:beforeLines="150" w:line="600" w:lineRule="exact"/>
        <w:jc w:val="center"/>
        <w:rPr>
          <w:rFonts w:ascii="黑体" w:hAnsi="黑体" w:eastAsia="黑体" w:cs="宋体"/>
          <w:color w:val="333333"/>
          <w:kern w:val="0"/>
          <w:sz w:val="36"/>
          <w:szCs w:val="36"/>
        </w:rPr>
      </w:pPr>
      <w:r>
        <w:rPr>
          <w:rFonts w:ascii="黑体" w:hAnsi="黑体" w:eastAsia="黑体" w:cs="Times New Roman"/>
          <w:color w:val="333333"/>
          <w:kern w:val="0"/>
          <w:sz w:val="36"/>
          <w:szCs w:val="36"/>
        </w:rPr>
        <w:t>三、发展</w:t>
      </w:r>
      <w:r>
        <w:rPr>
          <w:rFonts w:hint="eastAsia" w:ascii="黑体" w:hAnsi="黑体" w:eastAsia="黑体" w:cs="Times New Roman"/>
          <w:color w:val="333333"/>
          <w:kern w:val="0"/>
          <w:sz w:val="36"/>
          <w:szCs w:val="36"/>
        </w:rPr>
        <w:t>任务</w:t>
      </w:r>
    </w:p>
    <w:p>
      <w:pPr>
        <w:shd w:val="clear" w:color="auto" w:fill="FFFFFF"/>
        <w:adjustRightInd w:val="0"/>
        <w:snapToGrid w:val="0"/>
        <w:spacing w:beforeLines="50" w:line="600" w:lineRule="exact"/>
        <w:ind w:firstLine="630" w:firstLineChars="196"/>
        <w:jc w:val="left"/>
        <w:outlineLvl w:val="0"/>
        <w:rPr>
          <w:rFonts w:ascii="楷体" w:hAnsi="楷体" w:eastAsia="楷体"/>
          <w:b/>
          <w:color w:val="000000" w:themeColor="text1"/>
          <w:sz w:val="32"/>
          <w:szCs w:val="32"/>
          <w14:textFill>
            <w14:solidFill>
              <w14:schemeClr w14:val="tx1"/>
            </w14:solidFill>
          </w14:textFill>
        </w:rPr>
      </w:pPr>
      <w:r>
        <w:rPr>
          <w:rFonts w:ascii="Times New Roman" w:hAnsi="楷体" w:eastAsia="楷体" w:cs="Times New Roman"/>
          <w:b/>
          <w:color w:val="333333"/>
          <w:kern w:val="0"/>
          <w:sz w:val="32"/>
          <w:szCs w:val="32"/>
        </w:rPr>
        <w:t>（一）</w:t>
      </w:r>
      <w:r>
        <w:rPr>
          <w:rFonts w:ascii="Times New Roman" w:hAnsi="楷体" w:eastAsia="楷体" w:cs="Times New Roman"/>
          <w:b/>
          <w:color w:val="000000" w:themeColor="text1"/>
          <w:sz w:val="32"/>
          <w:szCs w:val="32"/>
          <w14:textFill>
            <w14:solidFill>
              <w14:schemeClr w14:val="tx1"/>
            </w14:solidFill>
          </w14:textFill>
        </w:rPr>
        <w:t>全面深化财税改革</w:t>
      </w:r>
    </w:p>
    <w:p>
      <w:pPr>
        <w:shd w:val="clear" w:color="auto" w:fill="FFFFFF"/>
        <w:adjustRightInd w:val="0"/>
        <w:snapToGrid w:val="0"/>
        <w:spacing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1、探索财政体制改革。</w:t>
      </w:r>
      <w:r>
        <w:rPr>
          <w:rFonts w:hint="eastAsia" w:ascii="FangSong_GB2312" w:hAnsi="仿宋" w:eastAsia="FangSong_GB2312"/>
          <w:color w:val="000000" w:themeColor="text1"/>
          <w:sz w:val="32"/>
          <w:szCs w:val="32"/>
          <w14:textFill>
            <w14:solidFill>
              <w14:schemeClr w14:val="tx1"/>
            </w14:solidFill>
          </w14:textFill>
        </w:rPr>
        <w:t>根据上级推进财政事权与支出责任划分改革方案，做好重点领域事权划分改革实施工作，逐步形成依法规范、合理授权、职责明确、运转高效的财政事权和支出责任划分机制。加快推进财政事权和支出责任划分改革，构建权责清晰、财力协调、区域平衡的县、乡(镇)财政关系。</w:t>
      </w:r>
    </w:p>
    <w:p>
      <w:pPr>
        <w:shd w:val="clear" w:color="auto" w:fill="FFFFFF"/>
        <w:adjustRightInd w:val="0"/>
        <w:snapToGrid w:val="0"/>
        <w:spacing w:beforeLines="50" w:line="600" w:lineRule="exact"/>
        <w:ind w:firstLine="630" w:firstLineChars="196"/>
        <w:rPr>
          <w:rFonts w:ascii="FangSong_GB2312" w:hAnsi="仿宋" w:eastAsia="FangSong_GB2312"/>
          <w:b/>
          <w:color w:val="000000" w:themeColor="text1"/>
          <w:sz w:val="32"/>
          <w:szCs w:val="32"/>
          <w14:textFill>
            <w14:solidFill>
              <w14:schemeClr w14:val="tx1"/>
            </w14:solidFill>
          </w14:textFill>
        </w:rPr>
      </w:pPr>
      <w:r>
        <w:rPr>
          <w:rFonts w:hint="eastAsia" w:ascii="FangSong_GB2312" w:hAnsi="仿宋" w:eastAsia="FangSong_GB2312"/>
          <w:b/>
          <w:color w:val="000000" w:themeColor="text1"/>
          <w:sz w:val="32"/>
          <w:szCs w:val="32"/>
          <w14:textFill>
            <w14:solidFill>
              <w14:schemeClr w14:val="tx1"/>
            </w14:solidFill>
          </w14:textFill>
        </w:rPr>
        <w:t>2、深化预算管理改革。</w:t>
      </w:r>
      <w:r>
        <w:rPr>
          <w:rFonts w:hint="eastAsia" w:ascii="FangSong_GB2312" w:hAnsi="仿宋" w:eastAsia="FangSong_GB2312"/>
          <w:color w:val="000000" w:themeColor="text1"/>
          <w:sz w:val="32"/>
          <w:szCs w:val="32"/>
          <w14:textFill>
            <w14:solidFill>
              <w14:schemeClr w14:val="tx1"/>
            </w14:solidFill>
          </w14:textFill>
        </w:rPr>
        <w:t>完善政府预算体系。按照新预算法要求，建立由公共财政预算、国有资本经营预算、政府性基金预算和社会保障预算有机衔接的全口径预算管理体系。建立跨年度预算平衡机制。改进预算管理和控制，对未来五年重大财政收支情况进行分析预测，推进部门编制五年滚动规划，加强项目库管理，健全项目预算审核机制。全面实现预决算公开。进一步细化县本级财政预决算，将预决算支</w:t>
      </w:r>
      <w:r>
        <w:rPr>
          <w:rFonts w:hint="eastAsia" w:ascii="FangSong_GB2312" w:hAnsi="仿宋" w:eastAsia="仿宋"/>
          <w:color w:val="000000" w:themeColor="text1"/>
          <w:sz w:val="32"/>
          <w:szCs w:val="32"/>
          <w14:textFill>
            <w14:solidFill>
              <w14:schemeClr w14:val="tx1"/>
            </w14:solidFill>
          </w14:textFill>
        </w:rPr>
        <w:t>岀</w:t>
      </w:r>
      <w:r>
        <w:rPr>
          <w:rFonts w:hint="eastAsia" w:ascii="FangSong_GB2312" w:hAnsi="仿宋" w:eastAsia="FangSong_GB2312"/>
          <w:color w:val="000000" w:themeColor="text1"/>
          <w:sz w:val="32"/>
          <w:szCs w:val="32"/>
          <w14:textFill>
            <w14:solidFill>
              <w14:schemeClr w14:val="tx1"/>
            </w14:solidFill>
          </w14:textFill>
        </w:rPr>
        <w:t>细化到项级科目，对县直各部门的预决算细化到基本支出和项目支出，将所有财政资金安排的“三公”经费、政府采购等社会关注热点，向社会公开，接受社会各界的监督。</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3、完善收入管理机制。</w:t>
      </w:r>
      <w:r>
        <w:rPr>
          <w:rFonts w:hint="eastAsia" w:ascii="FangSong_GB2312" w:hAnsi="仿宋" w:eastAsia="FangSong_GB2312"/>
          <w:color w:val="222222"/>
          <w:sz w:val="32"/>
          <w:szCs w:val="32"/>
        </w:rPr>
        <w:t>加强税收征管，做到依法征收、应收尽收。注重收入总量与质量“并重”的增收导向，确保实现有质量、可持续的财政收入增长。建立财、税、库、银信息共享平台，形成信息资源共享机制，提升财税管理信息化应用水平。建立科学考核体系，及时、准确掌握重点税源大户的生产经营和税收变化情况，确保重点税收及时足额入库。加大总部经济的招引和考核力度，鼓励总部经济项目多开票。进一步规范非税收入管理，探索推行票据电子化改革。优化非税收缴流程，推行非税收入电子缴款，实时匹配非税收入资金和信息，创造条件实现应上缴国库的非税收入资金直接缴入国库，提高资金缴库率。</w:t>
      </w:r>
    </w:p>
    <w:p>
      <w:pPr>
        <w:shd w:val="clear" w:color="auto" w:fill="FFFFFF"/>
        <w:adjustRightInd w:val="0"/>
        <w:snapToGrid w:val="0"/>
        <w:spacing w:beforeLines="50" w:line="600" w:lineRule="exact"/>
        <w:ind w:firstLine="630" w:firstLineChars="196"/>
        <w:rPr>
          <w:rFonts w:ascii="楷体" w:hAnsi="楷体" w:eastAsia="楷体"/>
          <w:b/>
          <w:color w:val="222222"/>
          <w:sz w:val="32"/>
          <w:szCs w:val="32"/>
        </w:rPr>
      </w:pPr>
      <w:r>
        <w:rPr>
          <w:rFonts w:hint="eastAsia" w:ascii="楷体" w:hAnsi="楷体" w:eastAsia="楷体"/>
          <w:b/>
          <w:color w:val="222222"/>
          <w:sz w:val="32"/>
          <w:szCs w:val="32"/>
        </w:rPr>
        <w:t>（二）深入规范财政管理</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lang w:val="en-US" w:eastAsia="zh-CN"/>
        </w:rPr>
        <w:t>1</w:t>
      </w:r>
      <w:r>
        <w:rPr>
          <w:rFonts w:hint="eastAsia" w:ascii="FangSong_GB2312" w:hAnsi="仿宋" w:eastAsia="FangSong_GB2312"/>
          <w:b/>
          <w:color w:val="222222"/>
          <w:sz w:val="32"/>
          <w:szCs w:val="32"/>
        </w:rPr>
        <w:t>、树立“过紧日子”思想。</w:t>
      </w:r>
      <w:r>
        <w:rPr>
          <w:rFonts w:hint="eastAsia" w:ascii="FangSong_GB2312" w:hAnsi="仿宋" w:eastAsia="FangSong_GB2312"/>
          <w:color w:val="222222"/>
          <w:sz w:val="32"/>
          <w:szCs w:val="32"/>
        </w:rPr>
        <w:t>政府过紧日子，目的是让人民群众过好日子，是党中央确定的长期方针政策。财政要切实履行职责，坚持厉行节约、节用裕民，带头推动将“政府过紧日子”的要求落到实处，大力压减一般性开支，未来五年，一般性支出只减不增。</w:t>
      </w:r>
    </w:p>
    <w:p>
      <w:pPr>
        <w:shd w:val="clear" w:color="auto" w:fill="FFFFFF"/>
        <w:adjustRightInd w:val="0"/>
        <w:snapToGrid w:val="0"/>
        <w:spacing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lang w:val="en-US" w:eastAsia="zh-CN"/>
        </w:rPr>
        <w:t>2</w:t>
      </w:r>
      <w:r>
        <w:rPr>
          <w:rFonts w:hint="eastAsia" w:ascii="FangSong_GB2312" w:hAnsi="仿宋" w:eastAsia="FangSong_GB2312"/>
          <w:b/>
          <w:color w:val="222222"/>
          <w:sz w:val="32"/>
          <w:szCs w:val="32"/>
        </w:rPr>
        <w:t>、划定“六条红线”。</w:t>
      </w:r>
      <w:r>
        <w:rPr>
          <w:rFonts w:hint="eastAsia" w:ascii="FangSong_GB2312" w:hAnsi="仿宋" w:eastAsia="FangSong_GB2312"/>
          <w:color w:val="222222"/>
          <w:sz w:val="32"/>
          <w:szCs w:val="32"/>
        </w:rPr>
        <w:t>严禁脱离实际</w:t>
      </w:r>
      <w:r>
        <w:rPr>
          <w:rFonts w:hint="eastAsia" w:ascii="FangSong_GB2312" w:hAnsi="仿宋" w:eastAsia="仿宋"/>
          <w:color w:val="222222"/>
          <w:sz w:val="32"/>
          <w:szCs w:val="32"/>
        </w:rPr>
        <w:t>虛</w:t>
      </w:r>
      <w:r>
        <w:rPr>
          <w:rFonts w:hint="eastAsia" w:ascii="FangSong_GB2312" w:hAnsi="仿宋" w:eastAsia="FangSong_GB2312"/>
          <w:color w:val="222222"/>
          <w:sz w:val="32"/>
          <w:szCs w:val="32"/>
        </w:rPr>
        <w:t>增收入来源、编制隐性赤字预算；严禁留有“三保”支出硬缺口；严禁超越发展阶段和财力可能出台增支政策、无预算超预算安排支出；严禁违规出借、拨付库款；严禁违规举借和使用债券资金；严禁低效无效使用和浪费财政资金。</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2、大力清理财政暂付款。</w:t>
      </w:r>
      <w:r>
        <w:rPr>
          <w:rFonts w:hint="eastAsia" w:ascii="FangSong_GB2312" w:hAnsi="仿宋" w:eastAsia="FangSong_GB2312"/>
          <w:color w:val="222222"/>
          <w:sz w:val="32"/>
          <w:szCs w:val="32"/>
        </w:rPr>
        <w:t>对国库集中支付结余款项，严格按照清理存量资金要求予以清理，大力压减挂账规模。对历年来在财政总账之外反映的应安排或承诺安排的未拨付资金，要分类处理，不必兑现的，一律予以取消；必须安排的，纳入当年预算统筹考虑。加快推进暂付款清理工作，确保完成年度清理任务，严禁</w:t>
      </w:r>
      <w:r>
        <w:rPr>
          <w:rFonts w:hint="eastAsia" w:ascii="FangSong_GB2312" w:hAnsi="FangSong_GB2312" w:eastAsia="FangSong_GB2312" w:cs="FangSong_GB2312"/>
          <w:color w:val="222222"/>
          <w:sz w:val="32"/>
          <w:szCs w:val="32"/>
        </w:rPr>
        <w:t>违规新增暂付款，严禁通过调整财务报表搞虚假清理。</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4、提高绩效管理水平。</w:t>
      </w:r>
      <w:r>
        <w:rPr>
          <w:rFonts w:hint="eastAsia" w:ascii="FangSong_GB2312" w:hAnsi="仿宋" w:eastAsia="FangSong_GB2312"/>
          <w:color w:val="222222"/>
          <w:sz w:val="32"/>
          <w:szCs w:val="32"/>
        </w:rPr>
        <w:t>将绩效管理实质性嵌入预算管理全过程，提升绩效目标质量，加强评价结果运用，坚决削减低效无效支出，优化预算支出结构。要加快推进绩效评价结果与审计、人大、纪检等部门共享互用，真正形成“花钱必问效，无效必问责”的强大威慑。</w:t>
      </w:r>
    </w:p>
    <w:p>
      <w:pPr>
        <w:shd w:val="clear" w:color="auto" w:fill="FFFFFF"/>
        <w:adjustRightInd w:val="0"/>
        <w:snapToGrid w:val="0"/>
        <w:spacing w:line="600" w:lineRule="exact"/>
        <w:ind w:firstLine="630" w:firstLineChars="196"/>
        <w:rPr>
          <w:rFonts w:ascii="楷体" w:hAnsi="楷体" w:eastAsia="楷体"/>
          <w:b/>
          <w:color w:val="222222"/>
          <w:sz w:val="32"/>
          <w:szCs w:val="32"/>
        </w:rPr>
      </w:pPr>
      <w:r>
        <w:rPr>
          <w:rFonts w:hint="eastAsia" w:ascii="楷体" w:hAnsi="楷体" w:eastAsia="楷体"/>
          <w:b/>
          <w:color w:val="222222"/>
          <w:sz w:val="32"/>
          <w:szCs w:val="32"/>
        </w:rPr>
        <w:t>（三）服务发展县域经济</w:t>
      </w:r>
    </w:p>
    <w:p>
      <w:pPr>
        <w:shd w:val="clear" w:color="auto" w:fill="FFFFFF"/>
        <w:adjustRightInd w:val="0"/>
        <w:snapToGrid w:val="0"/>
        <w:spacing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1、落实税收政策支持。</w:t>
      </w:r>
      <w:r>
        <w:rPr>
          <w:rFonts w:hint="eastAsia" w:ascii="FangSong_GB2312" w:hAnsi="仿宋" w:eastAsia="FangSong_GB2312"/>
          <w:color w:val="222222"/>
          <w:sz w:val="32"/>
          <w:szCs w:val="32"/>
        </w:rPr>
        <w:t>按项目类别、投资总额、投资强度、推进进度、税收贡献度等，给予相应政策优惠和奖励。支持企业申请国家和省级专项资金。制定新的《缓宁县中小企业发展专项资金管理办法》，支持我县中小微企业发展，发挥财政资金引导效应。</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2、降低企业运营成本。</w:t>
      </w:r>
      <w:r>
        <w:rPr>
          <w:rFonts w:hint="eastAsia" w:ascii="FangSong_GB2312" w:hAnsi="仿宋" w:eastAsia="FangSong_GB2312"/>
          <w:color w:val="222222"/>
          <w:sz w:val="32"/>
          <w:szCs w:val="32"/>
        </w:rPr>
        <w:t>落实收费目录清单制度，规范涉企收费行为。对重大产业项目及创新型项目设计的城镇建设等行政事业型收费给予适度奖补。按政策降低企业养老保险单位缴费比例、继续阶段性降低失业保险、工伤保险费率。支持园区企业参与电力市场直接交易，争取更多园区项目进入国家增量配电试点。对重点产业项目适当增加物流补助。</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3、大力</w:t>
      </w:r>
      <w:r>
        <w:rPr>
          <w:rFonts w:hint="eastAsia" w:ascii="FangSong_GB2312" w:hAnsi="仿宋" w:eastAsia="FangSong_GB2312"/>
          <w:b/>
          <w:color w:val="222222"/>
          <w:sz w:val="32"/>
          <w:szCs w:val="32"/>
          <w:lang w:eastAsia="zh-CN"/>
        </w:rPr>
        <w:t>发展总部经济</w:t>
      </w:r>
      <w:r>
        <w:rPr>
          <w:rFonts w:hint="eastAsia" w:ascii="FangSong_GB2312" w:hAnsi="仿宋" w:eastAsia="FangSong_GB2312"/>
          <w:b/>
          <w:color w:val="222222"/>
          <w:sz w:val="32"/>
          <w:szCs w:val="32"/>
        </w:rPr>
        <w:t>。</w:t>
      </w:r>
      <w:r>
        <w:rPr>
          <w:rFonts w:hint="eastAsia" w:ascii="FangSong_GB2312" w:hAnsi="仿宋" w:eastAsia="FangSong_GB2312"/>
          <w:color w:val="222222"/>
          <w:sz w:val="32"/>
          <w:szCs w:val="32"/>
        </w:rPr>
        <w:t>对将总部搬迁至绥宁且年纳税达500万元以上的高新技术企业、上市企业，给与扶持奖励。新登记注册入驻且实行税收汇总缴纳、年度缴纳税收100万元以上的企业，在认定为总部企业前三年给予奖励。固定投资过亿元或年产值过亿的企业，按有关文件进行奖补。</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4、</w:t>
      </w:r>
      <w:r>
        <w:rPr>
          <w:rFonts w:hint="eastAsia" w:ascii="FangSong_GB2312" w:hAnsi="仿宋" w:eastAsia="FangSong_GB2312"/>
          <w:b/>
          <w:color w:val="222222"/>
          <w:sz w:val="32"/>
          <w:szCs w:val="32"/>
          <w:lang w:eastAsia="zh-CN"/>
        </w:rPr>
        <w:t>发挥</w:t>
      </w:r>
      <w:r>
        <w:rPr>
          <w:rFonts w:hint="eastAsia" w:ascii="FangSong_GB2312" w:hAnsi="仿宋" w:eastAsia="FangSong_GB2312"/>
          <w:b/>
          <w:color w:val="222222"/>
          <w:sz w:val="32"/>
          <w:szCs w:val="32"/>
        </w:rPr>
        <w:t>金融市场</w:t>
      </w:r>
      <w:r>
        <w:rPr>
          <w:rFonts w:hint="eastAsia" w:ascii="FangSong_GB2312" w:hAnsi="仿宋" w:eastAsia="FangSong_GB2312"/>
          <w:b/>
          <w:color w:val="222222"/>
          <w:sz w:val="32"/>
          <w:szCs w:val="32"/>
          <w:lang w:eastAsia="zh-CN"/>
        </w:rPr>
        <w:t>调节功能</w:t>
      </w:r>
      <w:r>
        <w:rPr>
          <w:rFonts w:hint="eastAsia" w:ascii="FangSong_GB2312" w:hAnsi="仿宋" w:eastAsia="FangSong_GB2312"/>
          <w:b/>
          <w:color w:val="222222"/>
          <w:sz w:val="32"/>
          <w:szCs w:val="32"/>
        </w:rPr>
        <w:t>。</w:t>
      </w:r>
      <w:r>
        <w:rPr>
          <w:rFonts w:hint="eastAsia" w:ascii="FangSong_GB2312" w:hAnsi="仿宋" w:eastAsia="FangSong_GB2312"/>
          <w:color w:val="222222"/>
          <w:sz w:val="32"/>
          <w:szCs w:val="32"/>
        </w:rPr>
        <w:t>利用好现有的财政注资成立市场化运作的担保公司，构建市场化运作的融资担保体系，依法依规为入园企业提供融资担保服务。设立承接产业发展创业投资基金。鼓励园区企业参与设立产业投资引导基金，对重点引进项目进行引导性投资。推动县内金融机构设立科技信贷专营机构，建立科技金融深度融合的保障体系。</w:t>
      </w:r>
    </w:p>
    <w:p>
      <w:pPr>
        <w:shd w:val="clear" w:color="auto" w:fill="FFFFFF"/>
        <w:adjustRightInd w:val="0"/>
        <w:snapToGrid w:val="0"/>
        <w:spacing w:beforeLines="50" w:line="600" w:lineRule="exact"/>
        <w:ind w:firstLine="630" w:firstLineChars="196"/>
        <w:rPr>
          <w:rFonts w:ascii="FangSong_GB2312" w:hAnsi="仿宋" w:eastAsia="FangSong_GB2312"/>
          <w:color w:val="222222"/>
          <w:sz w:val="32"/>
          <w:szCs w:val="32"/>
        </w:rPr>
      </w:pPr>
      <w:r>
        <w:rPr>
          <w:rFonts w:hint="eastAsia" w:ascii="FangSong_GB2312" w:hAnsi="仿宋" w:eastAsia="FangSong_GB2312"/>
          <w:b/>
          <w:color w:val="222222"/>
          <w:sz w:val="32"/>
          <w:szCs w:val="32"/>
        </w:rPr>
        <w:t>5、大力支持</w:t>
      </w:r>
      <w:r>
        <w:rPr>
          <w:rFonts w:hint="eastAsia" w:ascii="FangSong_GB2312" w:hAnsi="仿宋" w:eastAsia="FangSong_GB2312"/>
          <w:b/>
          <w:color w:val="222222"/>
          <w:sz w:val="32"/>
          <w:szCs w:val="32"/>
          <w:lang w:eastAsia="zh-CN"/>
        </w:rPr>
        <w:t>新业态经济发展</w:t>
      </w:r>
      <w:r>
        <w:rPr>
          <w:rFonts w:hint="eastAsia" w:ascii="FangSong_GB2312" w:hAnsi="仿宋" w:eastAsia="FangSong_GB2312"/>
          <w:b/>
          <w:color w:val="222222"/>
          <w:sz w:val="32"/>
          <w:szCs w:val="32"/>
        </w:rPr>
        <w:t>。</w:t>
      </w:r>
      <w:r>
        <w:rPr>
          <w:rFonts w:hint="eastAsia" w:ascii="FangSong_GB2312" w:hAnsi="仿宋" w:eastAsia="FangSong_GB2312"/>
          <w:color w:val="222222"/>
          <w:sz w:val="32"/>
          <w:szCs w:val="32"/>
        </w:rPr>
        <w:t>鼓励县内实体企业、商品流通业、物流运输业、服务业应用电子商务。利用电商平台网络交易额首次达到一定规模的企业，按相关规定给予资金支持。继续推进电子商务进农村，完善电商配套基础设施建设，。重点建设农产品分拣加工中心</w:t>
      </w:r>
      <w:r>
        <w:rPr>
          <w:rFonts w:hint="eastAsia" w:ascii="FangSong_GB2312" w:hAnsi="仿宋" w:eastAsia="FangSong_GB2312"/>
          <w:color w:val="FF0000"/>
          <w:sz w:val="32"/>
          <w:szCs w:val="32"/>
        </w:rPr>
        <w:t>、</w:t>
      </w:r>
      <w:r>
        <w:rPr>
          <w:rFonts w:hint="eastAsia" w:ascii="FangSong_GB2312" w:hAnsi="仿宋" w:eastAsia="FangSong_GB2312"/>
          <w:color w:val="222222"/>
          <w:sz w:val="32"/>
          <w:szCs w:val="32"/>
        </w:rPr>
        <w:t>县级电子商务公共服务中心、乡镇电商服务站；依托县级电子商务公共服务中心，建设县级电商物流配送中心，乡镇设中转站，村级设配送点。</w:t>
      </w:r>
    </w:p>
    <w:p>
      <w:pPr>
        <w:shd w:val="clear" w:color="auto" w:fill="FFFFFF"/>
        <w:adjustRightInd w:val="0"/>
        <w:snapToGrid w:val="0"/>
        <w:spacing w:beforeLines="50" w:line="600" w:lineRule="exact"/>
        <w:ind w:firstLine="630" w:firstLineChars="196"/>
        <w:rPr>
          <w:rFonts w:hint="eastAsia" w:ascii="FangSong_GB2312" w:hAnsi="仿宋" w:eastAsia="FangSong_GB2312"/>
          <w:color w:val="auto"/>
          <w:sz w:val="32"/>
          <w:szCs w:val="32"/>
          <w:lang w:val="en-US" w:eastAsia="zh-CN"/>
        </w:rPr>
      </w:pPr>
      <w:r>
        <w:rPr>
          <w:rFonts w:hint="eastAsia" w:ascii="FangSong_GB2312" w:hAnsi="仿宋" w:eastAsia="FangSong_GB2312"/>
          <w:b/>
          <w:bCs/>
          <w:color w:val="auto"/>
          <w:sz w:val="32"/>
          <w:szCs w:val="32"/>
          <w:lang w:val="en-US" w:eastAsia="zh-CN"/>
        </w:rPr>
        <w:t>6、壮大提升旅游产业。</w:t>
      </w:r>
      <w:r>
        <w:rPr>
          <w:rFonts w:hint="eastAsia" w:ascii="FangSong_GB2312" w:hAnsi="仿宋" w:eastAsia="FangSong_GB2312"/>
          <w:color w:val="auto"/>
          <w:sz w:val="32"/>
          <w:szCs w:val="32"/>
          <w:lang w:val="en-US" w:eastAsia="zh-CN"/>
        </w:rPr>
        <w:t>利用县内优质旅游资源，坚守“深呼吸到绥宁”旅游新形象，加大旅游产业发展的资金投入，完善景区基础设施建设，开发境内森林生态旅游和民俗文化旅游、红色旅游资源，完善旅游通道，积极融入邵阳西部生态圈和张—崀—桂旅游走廊。</w:t>
      </w:r>
    </w:p>
    <w:p>
      <w:pPr>
        <w:shd w:val="clear" w:color="auto" w:fill="FFFFFF"/>
        <w:adjustRightInd w:val="0"/>
        <w:snapToGrid w:val="0"/>
        <w:spacing w:beforeLines="50" w:line="600" w:lineRule="exact"/>
        <w:ind w:firstLine="630" w:firstLineChars="196"/>
        <w:jc w:val="left"/>
        <w:outlineLvl w:val="0"/>
        <w:rPr>
          <w:rFonts w:ascii="仿宋" w:hAnsi="仿宋" w:eastAsia="仿宋"/>
          <w:color w:val="FF0000"/>
          <w:sz w:val="32"/>
          <w:szCs w:val="32"/>
        </w:rPr>
      </w:pPr>
      <w:r>
        <w:rPr>
          <w:rFonts w:hint="eastAsia" w:ascii="Times New Roman" w:hAnsi="Times New Roman" w:eastAsia="楷体" w:cs="Times New Roman"/>
          <w:b/>
          <w:color w:val="000000" w:themeColor="text1"/>
          <w:sz w:val="32"/>
          <w:szCs w:val="32"/>
          <w14:textFill>
            <w14:solidFill>
              <w14:schemeClr w14:val="tx1"/>
            </w14:solidFill>
          </w14:textFill>
        </w:rPr>
        <w:t>（四）</w:t>
      </w:r>
      <w:r>
        <w:rPr>
          <w:rFonts w:hint="eastAsia" w:ascii="楷体" w:hAnsi="楷体" w:eastAsia="楷体"/>
          <w:b/>
          <w:color w:val="000000" w:themeColor="text1"/>
          <w:sz w:val="32"/>
          <w:szCs w:val="32"/>
          <w14:textFill>
            <w14:solidFill>
              <w14:schemeClr w14:val="tx1"/>
            </w14:solidFill>
          </w14:textFill>
        </w:rPr>
        <w:t>倾力落实民生保障政策</w:t>
      </w:r>
    </w:p>
    <w:p>
      <w:pPr>
        <w:shd w:val="clear" w:color="auto" w:fill="FFFFFF"/>
        <w:adjustRightInd w:val="0"/>
        <w:snapToGrid w:val="0"/>
        <w:spacing w:beforeLines="50"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lang w:val="en-US" w:eastAsia="zh-CN"/>
          <w14:textFill>
            <w14:solidFill>
              <w14:schemeClr w14:val="tx1"/>
            </w14:solidFill>
          </w14:textFill>
        </w:rPr>
        <w:t>1</w:t>
      </w:r>
      <w:r>
        <w:rPr>
          <w:rStyle w:val="12"/>
          <w:rFonts w:hint="eastAsia" w:ascii="FangSong_GB2312" w:hAnsi="仿宋" w:eastAsia="FangSong_GB2312" w:cs="Times New Roman"/>
          <w:color w:val="000000" w:themeColor="text1"/>
          <w:sz w:val="32"/>
          <w:szCs w:val="32"/>
          <w14:textFill>
            <w14:solidFill>
              <w14:schemeClr w14:val="tx1"/>
            </w14:solidFill>
          </w14:textFill>
        </w:rPr>
        <w:t>、</w:t>
      </w:r>
      <w:r>
        <w:rPr>
          <w:rStyle w:val="12"/>
          <w:rFonts w:hint="eastAsia" w:ascii="FangSong_GB2312" w:hAnsi="仿宋" w:eastAsia="FangSong_GB2312"/>
          <w:color w:val="000000" w:themeColor="text1"/>
          <w:sz w:val="32"/>
          <w:szCs w:val="32"/>
          <w14:textFill>
            <w14:solidFill>
              <w14:schemeClr w14:val="tx1"/>
            </w14:solidFill>
          </w14:textFill>
        </w:rPr>
        <w:t>善社会保障制度体系。</w:t>
      </w:r>
      <w:r>
        <w:rPr>
          <w:rFonts w:hint="eastAsia" w:ascii="FangSong_GB2312" w:hAnsi="仿宋" w:eastAsia="FangSong_GB2312"/>
          <w:color w:val="000000" w:themeColor="text1"/>
          <w:sz w:val="32"/>
          <w:szCs w:val="32"/>
          <w14:textFill>
            <w14:solidFill>
              <w14:schemeClr w14:val="tx1"/>
            </w14:solidFill>
          </w14:textFill>
        </w:rPr>
        <w:t>健全统筹城乡的基本养老保险制度，做实城乡居民基本医疗保险市级统筹，提高城乡居民医保财政补助标准和缴费标准。完善医疗救助制度改革，加大对贫困群体实施帮助和支持力度，在防止因病致贫、因病返贫等方面发挥重要作用。持续推进全民参保计划，巩固机关事业单位养老保险制度改革成效。落实部分退役士兵社会保险接续政策，支持退伍军人五级服务体系建设和信息化建设，加强困难退役军人帮扶援助。严格按照相关政策做实工伤、失业保险基金，提高各类社保基金整体抗风险能力。</w:t>
      </w:r>
    </w:p>
    <w:p>
      <w:pPr>
        <w:shd w:val="clear" w:color="auto" w:fill="FFFFFF"/>
        <w:adjustRightInd w:val="0"/>
        <w:snapToGrid w:val="0"/>
        <w:spacing w:beforeLines="50"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lang w:val="en-US" w:eastAsia="zh-CN"/>
          <w14:textFill>
            <w14:solidFill>
              <w14:schemeClr w14:val="tx1"/>
            </w14:solidFill>
          </w14:textFill>
        </w:rPr>
        <w:t>2</w:t>
      </w:r>
      <w:r>
        <w:rPr>
          <w:rStyle w:val="12"/>
          <w:rFonts w:hint="eastAsia" w:ascii="FangSong_GB2312" w:hAnsi="仿宋" w:eastAsia="FangSong_GB2312" w:cs="Times New Roman"/>
          <w:color w:val="000000" w:themeColor="text1"/>
          <w:sz w:val="32"/>
          <w:szCs w:val="32"/>
          <w14:textFill>
            <w14:solidFill>
              <w14:schemeClr w14:val="tx1"/>
            </w14:solidFill>
          </w14:textFill>
        </w:rPr>
        <w:t>、</w:t>
      </w:r>
      <w:r>
        <w:rPr>
          <w:rStyle w:val="12"/>
          <w:rFonts w:hint="eastAsia" w:ascii="FangSong_GB2312" w:hAnsi="仿宋" w:eastAsia="FangSong_GB2312"/>
          <w:color w:val="000000" w:themeColor="text1"/>
          <w:sz w:val="32"/>
          <w:szCs w:val="32"/>
          <w14:textFill>
            <w14:solidFill>
              <w14:schemeClr w14:val="tx1"/>
            </w14:solidFill>
          </w14:textFill>
        </w:rPr>
        <w:t>落实救助救济政策。</w:t>
      </w:r>
      <w:r>
        <w:rPr>
          <w:rFonts w:hint="eastAsia" w:ascii="FangSong_GB2312" w:hAnsi="仿宋" w:eastAsia="FangSong_GB2312"/>
          <w:color w:val="000000" w:themeColor="text1"/>
          <w:sz w:val="32"/>
          <w:szCs w:val="32"/>
          <w14:textFill>
            <w14:solidFill>
              <w14:schemeClr w14:val="tx1"/>
            </w14:solidFill>
          </w14:textFill>
        </w:rPr>
        <w:t>推动建立具有普惠性、基础性、兜底性的社会救助体系，以失业人员、城乡低保户、社会救助人群、受灾群众、特困人员以及优抚对象为重点，兜牢兜实民生底线。落实因灾困难群众救助政策，健全孤儿基本生活保障体系，完善残疾人康复救助保障制度。</w:t>
      </w:r>
    </w:p>
    <w:p>
      <w:pPr>
        <w:shd w:val="clear" w:color="auto" w:fill="FFFFFF"/>
        <w:adjustRightInd w:val="0"/>
        <w:snapToGrid w:val="0"/>
        <w:spacing w:beforeLines="50"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lang w:val="en-US" w:eastAsia="zh-CN"/>
          <w14:textFill>
            <w14:solidFill>
              <w14:schemeClr w14:val="tx1"/>
            </w14:solidFill>
          </w14:textFill>
        </w:rPr>
        <w:t>3</w:t>
      </w:r>
      <w:r>
        <w:rPr>
          <w:rStyle w:val="12"/>
          <w:rFonts w:hint="eastAsia" w:ascii="FangSong_GB2312" w:hAnsi="仿宋" w:eastAsia="FangSong_GB2312" w:cs="Times New Roman"/>
          <w:color w:val="000000" w:themeColor="text1"/>
          <w:sz w:val="32"/>
          <w:szCs w:val="32"/>
          <w14:textFill>
            <w14:solidFill>
              <w14:schemeClr w14:val="tx1"/>
            </w14:solidFill>
          </w14:textFill>
        </w:rPr>
        <w:t>、</w:t>
      </w:r>
      <w:r>
        <w:rPr>
          <w:rStyle w:val="12"/>
          <w:rFonts w:hint="eastAsia" w:ascii="FangSong_GB2312" w:hAnsi="仿宋" w:eastAsia="FangSong_GB2312"/>
          <w:color w:val="000000" w:themeColor="text1"/>
          <w:sz w:val="32"/>
          <w:szCs w:val="32"/>
          <w14:textFill>
            <w14:solidFill>
              <w14:schemeClr w14:val="tx1"/>
            </w14:solidFill>
          </w14:textFill>
        </w:rPr>
        <w:t>支持教育事业发展。</w:t>
      </w:r>
      <w:r>
        <w:rPr>
          <w:rFonts w:hint="eastAsia" w:ascii="FangSong_GB2312" w:hAnsi="仿宋" w:eastAsia="FangSong_GB2312"/>
          <w:color w:val="000000" w:themeColor="text1"/>
          <w:sz w:val="32"/>
          <w:szCs w:val="32"/>
          <w14:textFill>
            <w14:solidFill>
              <w14:schemeClr w14:val="tx1"/>
            </w14:solidFill>
          </w14:textFill>
        </w:rPr>
        <w:t>落实财政教育投入“一个一般不低于、两个只增不减”要求，进一步优化教育支出结构，支持学前教育、普通高中教育等各学段改善办学条件，集中力量改善教育薄弱环节。巩固城乡义务教育经费保障机制，落实城乡义务教育“两免一补”政策，加大困难家庭学生资助力度，推动城乡义务教育一体化发展。正视教育现状，重视一线教师合理诉求，支持建立一套完善的教育教学质量奖罚机制，提高高考升学率，提升人民群众满意度。</w:t>
      </w:r>
    </w:p>
    <w:p>
      <w:pPr>
        <w:shd w:val="clear" w:color="auto" w:fill="FFFFFF"/>
        <w:adjustRightInd w:val="0"/>
        <w:snapToGrid w:val="0"/>
        <w:spacing w:beforeLines="50"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lang w:val="en-US" w:eastAsia="zh-CN"/>
          <w14:textFill>
            <w14:solidFill>
              <w14:schemeClr w14:val="tx1"/>
            </w14:solidFill>
          </w14:textFill>
        </w:rPr>
        <w:t>4</w:t>
      </w:r>
      <w:r>
        <w:rPr>
          <w:rStyle w:val="12"/>
          <w:rFonts w:hint="eastAsia" w:ascii="FangSong_GB2312" w:hAnsi="仿宋" w:eastAsia="FangSong_GB2312" w:cs="Times New Roman"/>
          <w:color w:val="000000" w:themeColor="text1"/>
          <w:sz w:val="32"/>
          <w:szCs w:val="32"/>
          <w14:textFill>
            <w14:solidFill>
              <w14:schemeClr w14:val="tx1"/>
            </w14:solidFill>
          </w14:textFill>
        </w:rPr>
        <w:t>、</w:t>
      </w:r>
      <w:r>
        <w:rPr>
          <w:rStyle w:val="12"/>
          <w:rFonts w:hint="eastAsia" w:ascii="FangSong_GB2312" w:hAnsi="仿宋" w:eastAsia="FangSong_GB2312"/>
          <w:color w:val="000000" w:themeColor="text1"/>
          <w:sz w:val="32"/>
          <w:szCs w:val="32"/>
          <w14:textFill>
            <w14:solidFill>
              <w14:schemeClr w14:val="tx1"/>
            </w14:solidFill>
          </w14:textFill>
        </w:rPr>
        <w:t>推进健康绥宁建设。</w:t>
      </w:r>
      <w:r>
        <w:rPr>
          <w:rFonts w:hint="eastAsia" w:ascii="FangSong_GB2312" w:hAnsi="仿宋" w:eastAsia="FangSong_GB2312"/>
          <w:color w:val="000000" w:themeColor="text1"/>
          <w:sz w:val="32"/>
          <w:szCs w:val="32"/>
          <w14:textFill>
            <w14:solidFill>
              <w14:schemeClr w14:val="tx1"/>
            </w14:solidFill>
          </w14:textFill>
        </w:rPr>
        <w:t>完善基本医疗待遇保障机制，健全稳健可持续的筹资机制和待遇调整机制。提高基本公共卫生服务人均财政补助标准，支持完善基本公共卫生服务和重大传染病防控项目服务内容。加大疾控体系基础设施投入和建设，实现县疾控中心整体搬迁。支持深化医药卫生体制改革，巩固公立医院破除以药补医成果。支持有序推进分级诊疗，促进优质医疗资源下沉。完善财政补助资金分配和绩效评价结果挂钩机制，加大对公立医院和基层医疗卫生机构的支持力度。</w:t>
      </w:r>
    </w:p>
    <w:p>
      <w:pPr>
        <w:shd w:val="clear" w:color="auto" w:fill="FFFFFF"/>
        <w:adjustRightInd w:val="0"/>
        <w:snapToGrid w:val="0"/>
        <w:spacing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lang w:val="en-US" w:eastAsia="zh-CN"/>
          <w14:textFill>
            <w14:solidFill>
              <w14:schemeClr w14:val="tx1"/>
            </w14:solidFill>
          </w14:textFill>
        </w:rPr>
        <w:t>5</w:t>
      </w:r>
      <w:r>
        <w:rPr>
          <w:rStyle w:val="12"/>
          <w:rFonts w:hint="eastAsia" w:ascii="FangSong_GB2312" w:hAnsi="仿宋" w:eastAsia="FangSong_GB2312" w:cs="Times New Roman"/>
          <w:color w:val="000000" w:themeColor="text1"/>
          <w:sz w:val="32"/>
          <w:szCs w:val="32"/>
          <w14:textFill>
            <w14:solidFill>
              <w14:schemeClr w14:val="tx1"/>
            </w14:solidFill>
          </w14:textFill>
        </w:rPr>
        <w:t>、</w:t>
      </w:r>
      <w:r>
        <w:rPr>
          <w:rStyle w:val="12"/>
          <w:rFonts w:hint="eastAsia" w:ascii="FangSong_GB2312" w:hAnsi="仿宋" w:eastAsia="FangSong_GB2312"/>
          <w:color w:val="000000" w:themeColor="text1"/>
          <w:sz w:val="32"/>
          <w:szCs w:val="32"/>
          <w14:textFill>
            <w14:solidFill>
              <w14:schemeClr w14:val="tx1"/>
            </w14:solidFill>
          </w14:textFill>
        </w:rPr>
        <w:t>实施积极的就业创业政策。</w:t>
      </w:r>
      <w:r>
        <w:rPr>
          <w:rFonts w:hint="eastAsia" w:ascii="FangSong_GB2312" w:hAnsi="仿宋" w:eastAsia="FangSong_GB2312"/>
          <w:color w:val="000000" w:themeColor="text1"/>
          <w:sz w:val="32"/>
          <w:szCs w:val="32"/>
          <w14:textFill>
            <w14:solidFill>
              <w14:schemeClr w14:val="tx1"/>
            </w14:solidFill>
          </w14:textFill>
        </w:rPr>
        <w:t>坚决落实就业优先战略和积极的就业政策，加大就业补助资金统筹使用力度。继续支持实施职业技能提升行动计划，支持大规模开展职业技能培训，推动实现更充分更高质量就业。完善重点群体就业支持体系，落实失业保险政策，加大对高校毕业生、退役军人等群体就业帮扶力度。充分发挥创业担保贷款辐射拉动和支持帮扶作用，助力大众创业、万众创新。</w:t>
      </w:r>
    </w:p>
    <w:p>
      <w:pPr>
        <w:shd w:val="clear" w:color="auto" w:fill="FFFFFF"/>
        <w:adjustRightInd w:val="0"/>
        <w:snapToGrid w:val="0"/>
        <w:spacing w:beforeLines="50" w:line="600" w:lineRule="exact"/>
        <w:ind w:firstLine="630" w:firstLineChars="196"/>
        <w:rPr>
          <w:rFonts w:ascii="FangSong_GB2312" w:hAnsi="仿宋" w:eastAsia="FangSong_GB2312"/>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14:textFill>
            <w14:solidFill>
              <w14:schemeClr w14:val="tx1"/>
            </w14:solidFill>
          </w14:textFill>
        </w:rPr>
        <w:t>6、</w:t>
      </w:r>
      <w:r>
        <w:rPr>
          <w:rStyle w:val="12"/>
          <w:rFonts w:hint="eastAsia" w:ascii="FangSong_GB2312" w:hAnsi="仿宋" w:eastAsia="FangSong_GB2312"/>
          <w:color w:val="000000" w:themeColor="text1"/>
          <w:sz w:val="32"/>
          <w:szCs w:val="32"/>
          <w14:textFill>
            <w14:solidFill>
              <w14:schemeClr w14:val="tx1"/>
            </w14:solidFill>
          </w14:textFill>
        </w:rPr>
        <w:t>推动文化体育事业发展。</w:t>
      </w:r>
      <w:r>
        <w:rPr>
          <w:rFonts w:hint="eastAsia" w:ascii="FangSong_GB2312" w:hAnsi="仿宋" w:eastAsia="FangSong_GB2312"/>
          <w:color w:val="000000" w:themeColor="text1"/>
          <w:sz w:val="32"/>
          <w:szCs w:val="32"/>
          <w14:textFill>
            <w14:solidFill>
              <w14:schemeClr w14:val="tx1"/>
            </w14:solidFill>
          </w14:textFill>
        </w:rPr>
        <w:t>深入实施文化惠民工程，健全公共文化服务体系，促进公共文化服务均等化、社会化、标准化、多元化。推动实施重点文化惠民项目。支持社会力量参与公共文化服务，深入挖掘地域文化，推动文化产业高质量发展。支持改善城乡公共体育场所和设施条件，促进全民健身和全民健康深度融合。</w:t>
      </w:r>
    </w:p>
    <w:p>
      <w:pPr>
        <w:shd w:val="clear" w:color="auto" w:fill="FFFFFF"/>
        <w:adjustRightInd w:val="0"/>
        <w:snapToGrid w:val="0"/>
        <w:spacing w:beforeLines="50" w:line="600" w:lineRule="exact"/>
        <w:ind w:firstLine="630" w:firstLineChars="196"/>
        <w:outlineLvl w:val="0"/>
        <w:rPr>
          <w:rFonts w:ascii="楷体" w:hAnsi="楷体" w:eastAsia="楷体"/>
          <w:b/>
          <w:color w:val="000000" w:themeColor="text1"/>
          <w:sz w:val="32"/>
          <w:szCs w:val="32"/>
          <w14:textFill>
            <w14:solidFill>
              <w14:schemeClr w14:val="tx1"/>
            </w14:solidFill>
          </w14:textFill>
        </w:rPr>
      </w:pPr>
      <w:r>
        <w:rPr>
          <w:rFonts w:ascii="Times New Roman" w:hAnsi="楷体" w:eastAsia="楷体" w:cs="Times New Roman"/>
          <w:b/>
          <w:color w:val="000000" w:themeColor="text1"/>
          <w:sz w:val="32"/>
          <w:szCs w:val="32"/>
          <w14:textFill>
            <w14:solidFill>
              <w14:schemeClr w14:val="tx1"/>
            </w14:solidFill>
          </w14:textFill>
        </w:rPr>
        <w:t>（五）</w:t>
      </w:r>
      <w:r>
        <w:rPr>
          <w:rFonts w:hint="eastAsia" w:ascii="楷体" w:hAnsi="楷体" w:eastAsia="楷体"/>
          <w:b/>
          <w:color w:val="000000" w:themeColor="text1"/>
          <w:sz w:val="32"/>
          <w:szCs w:val="32"/>
          <w14:textFill>
            <w14:solidFill>
              <w14:schemeClr w14:val="tx1"/>
            </w14:solidFill>
          </w14:textFill>
        </w:rPr>
        <w:t>支持乡村振兴战略</w:t>
      </w:r>
    </w:p>
    <w:p>
      <w:pPr>
        <w:shd w:val="clear" w:color="auto" w:fill="FFFFFF"/>
        <w:adjustRightInd w:val="0"/>
        <w:snapToGrid w:val="0"/>
        <w:spacing w:line="600" w:lineRule="exact"/>
        <w:ind w:firstLine="627" w:firstLineChars="196"/>
        <w:rPr>
          <w:rStyle w:val="12"/>
          <w:rFonts w:ascii="FangSong_GB2312" w:hAnsi="仿宋" w:eastAsia="FangSong_GB2312"/>
          <w:b w:val="0"/>
          <w:color w:val="000000" w:themeColor="text1"/>
          <w:sz w:val="32"/>
          <w:szCs w:val="32"/>
          <w14:textFill>
            <w14:solidFill>
              <w14:schemeClr w14:val="tx1"/>
            </w14:solidFill>
          </w14:textFill>
        </w:rPr>
      </w:pPr>
      <w:r>
        <w:rPr>
          <w:rStyle w:val="12"/>
          <w:rFonts w:hint="eastAsia" w:ascii="FangSong_GB2312" w:hAnsi="仿宋" w:eastAsia="FangSong_GB2312"/>
          <w:b w:val="0"/>
          <w:color w:val="000000" w:themeColor="text1"/>
          <w:sz w:val="32"/>
          <w:szCs w:val="32"/>
          <w14:textFill>
            <w14:solidFill>
              <w14:schemeClr w14:val="tx1"/>
            </w14:solidFill>
          </w14:textFill>
        </w:rPr>
        <w:t>“十四五”期间，财政系统要立足职能，聚焦乡村振兴重大决策部署和重要任务，加力增效，推动要素配置、资源条件、公共服务、基础设施向农业农村倾斜，积极完善财政配套政策，着力补齐农业农村发展短板，助力我县乡村的产业、人才、文化、生态、组织“五个振兴”战略的全面实施。</w:t>
      </w:r>
    </w:p>
    <w:p>
      <w:pPr>
        <w:shd w:val="clear" w:color="auto" w:fill="FFFFFF"/>
        <w:adjustRightInd w:val="0"/>
        <w:snapToGrid w:val="0"/>
        <w:spacing w:beforeLines="50" w:line="600" w:lineRule="exact"/>
        <w:ind w:firstLine="630" w:firstLineChars="196"/>
        <w:rPr>
          <w:rStyle w:val="12"/>
          <w:rFonts w:ascii="FangSong_GB2312" w:hAnsi="仿宋" w:eastAsia="FangSong_GB2312"/>
          <w:b w:val="0"/>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14:textFill>
            <w14:solidFill>
              <w14:schemeClr w14:val="tx1"/>
            </w14:solidFill>
          </w14:textFill>
        </w:rPr>
        <w:t>1、</w:t>
      </w:r>
      <w:r>
        <w:rPr>
          <w:rStyle w:val="12"/>
          <w:rFonts w:hint="eastAsia" w:ascii="FangSong_GB2312" w:hAnsi="仿宋" w:eastAsia="FangSong_GB2312"/>
          <w:color w:val="000000" w:themeColor="text1"/>
          <w:sz w:val="32"/>
          <w:szCs w:val="32"/>
          <w14:textFill>
            <w14:solidFill>
              <w14:schemeClr w14:val="tx1"/>
            </w14:solidFill>
          </w14:textFill>
        </w:rPr>
        <w:t>建立健全“三农”投入优先保障机制。</w:t>
      </w:r>
      <w:r>
        <w:rPr>
          <w:rStyle w:val="12"/>
          <w:rFonts w:hint="eastAsia" w:ascii="FangSong_GB2312" w:hAnsi="仿宋" w:eastAsia="FangSong_GB2312"/>
          <w:b w:val="0"/>
          <w:color w:val="000000" w:themeColor="text1"/>
          <w:sz w:val="32"/>
          <w:szCs w:val="32"/>
          <w14:textFill>
            <w14:solidFill>
              <w14:schemeClr w14:val="tx1"/>
            </w14:solidFill>
          </w14:textFill>
        </w:rPr>
        <w:t>按照“产业兴旺、生态宜居、乡风文明、治理有效、生活富裕”的总要求，建立健全实施乡村振兴战略财政投入保障制度，强化“三农”投入责任，公共财政更大力度向“三农”倾斜。十四五期间，实现农林水事业支出规模“只增不减”考核目标，确保“三农”投入总量有增加、结构更优化，确保财政投入与乡村振兴目标任务相适应。</w:t>
      </w:r>
    </w:p>
    <w:p>
      <w:pPr>
        <w:shd w:val="clear" w:color="auto" w:fill="FFFFFF"/>
        <w:adjustRightInd w:val="0"/>
        <w:snapToGrid w:val="0"/>
        <w:spacing w:beforeLines="50" w:line="600" w:lineRule="exact"/>
        <w:ind w:firstLine="630" w:firstLineChars="196"/>
        <w:rPr>
          <w:rStyle w:val="12"/>
          <w:rFonts w:ascii="FangSong_GB2312" w:hAnsi="仿宋" w:eastAsia="FangSong_GB2312"/>
          <w:b w:val="0"/>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14:textFill>
            <w14:solidFill>
              <w14:schemeClr w14:val="tx1"/>
            </w14:solidFill>
          </w14:textFill>
        </w:rPr>
        <w:t>2、</w:t>
      </w:r>
      <w:r>
        <w:rPr>
          <w:rStyle w:val="12"/>
          <w:rFonts w:hint="eastAsia" w:ascii="FangSong_GB2312" w:hAnsi="仿宋" w:eastAsia="FangSong_GB2312"/>
          <w:color w:val="000000" w:themeColor="text1"/>
          <w:sz w:val="32"/>
          <w:szCs w:val="32"/>
          <w14:textFill>
            <w14:solidFill>
              <w14:schemeClr w14:val="tx1"/>
            </w14:solidFill>
          </w14:textFill>
        </w:rPr>
        <w:t>积极向上争取政策资金支持。</w:t>
      </w:r>
      <w:r>
        <w:rPr>
          <w:rStyle w:val="12"/>
          <w:rFonts w:hint="eastAsia" w:ascii="FangSong_GB2312" w:hAnsi="仿宋" w:eastAsia="FangSong_GB2312"/>
          <w:b w:val="0"/>
          <w:color w:val="000000" w:themeColor="text1"/>
          <w:sz w:val="32"/>
          <w:szCs w:val="32"/>
          <w14:textFill>
            <w14:solidFill>
              <w14:schemeClr w14:val="tx1"/>
            </w14:solidFill>
          </w14:textFill>
        </w:rPr>
        <w:t>认真研究国家、省出台的政策，会同有关部门、单位有针对性地向上申报重大项目和资金需求，最大限度争取省、市级统筹乡村振兴资金支持。</w:t>
      </w:r>
    </w:p>
    <w:p>
      <w:pPr>
        <w:shd w:val="clear" w:color="auto" w:fill="FFFFFF"/>
        <w:adjustRightInd w:val="0"/>
        <w:snapToGrid w:val="0"/>
        <w:spacing w:beforeLines="50" w:line="600" w:lineRule="exact"/>
        <w:ind w:firstLine="630" w:firstLineChars="196"/>
        <w:rPr>
          <w:rStyle w:val="12"/>
          <w:rFonts w:ascii="FangSong_GB2312" w:hAnsi="仿宋" w:eastAsia="FangSong_GB2312"/>
          <w:b w:val="0"/>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14:textFill>
            <w14:solidFill>
              <w14:schemeClr w14:val="tx1"/>
            </w14:solidFill>
          </w14:textFill>
        </w:rPr>
        <w:t>3、</w:t>
      </w:r>
      <w:r>
        <w:rPr>
          <w:rStyle w:val="12"/>
          <w:rFonts w:hint="eastAsia" w:ascii="FangSong_GB2312" w:hAnsi="仿宋" w:eastAsia="FangSong_GB2312"/>
          <w:color w:val="000000" w:themeColor="text1"/>
          <w:sz w:val="32"/>
          <w:szCs w:val="32"/>
          <w14:textFill>
            <w14:solidFill>
              <w14:schemeClr w14:val="tx1"/>
            </w14:solidFill>
          </w14:textFill>
        </w:rPr>
        <w:t>切实</w:t>
      </w:r>
      <w:r>
        <w:rPr>
          <w:rStyle w:val="12"/>
          <w:rFonts w:hint="eastAsia" w:ascii="FangSong_GB2312" w:hAnsi="仿宋" w:eastAsia="仿宋"/>
          <w:color w:val="000000" w:themeColor="text1"/>
          <w:sz w:val="32"/>
          <w:szCs w:val="32"/>
          <w14:textFill>
            <w14:solidFill>
              <w14:schemeClr w14:val="tx1"/>
            </w14:solidFill>
          </w14:textFill>
        </w:rPr>
        <w:t>増</w:t>
      </w:r>
      <w:r>
        <w:rPr>
          <w:rStyle w:val="12"/>
          <w:rFonts w:hint="eastAsia" w:ascii="FangSong_GB2312" w:hAnsi="仿宋" w:eastAsia="FangSong_GB2312"/>
          <w:color w:val="000000" w:themeColor="text1"/>
          <w:sz w:val="32"/>
          <w:szCs w:val="32"/>
          <w14:textFill>
            <w14:solidFill>
              <w14:schemeClr w14:val="tx1"/>
            </w14:solidFill>
          </w14:textFill>
        </w:rPr>
        <w:t>强财政涉农资金的杠杆撬动作用。</w:t>
      </w:r>
      <w:r>
        <w:rPr>
          <w:rStyle w:val="12"/>
          <w:rFonts w:hint="eastAsia" w:ascii="FangSong_GB2312" w:hAnsi="仿宋" w:eastAsia="FangSong_GB2312"/>
          <w:b w:val="0"/>
          <w:color w:val="000000" w:themeColor="text1"/>
          <w:sz w:val="32"/>
          <w:szCs w:val="32"/>
          <w14:textFill>
            <w14:solidFill>
              <w14:schemeClr w14:val="tx1"/>
            </w14:solidFill>
          </w14:textFill>
        </w:rPr>
        <w:t>充分发挥乡村振兴项目资金规划引领作用，推进行业内资金整合与行业间资金统筹相互衔接配合，建立健全涉农资金统筹整合长效机制。健全完善政策性农业信贷担保体系，充分发挥好涉农资金引导作用，提高财政资金使用效益。</w:t>
      </w:r>
    </w:p>
    <w:p>
      <w:pPr>
        <w:shd w:val="clear" w:color="auto" w:fill="FFFFFF"/>
        <w:adjustRightInd w:val="0"/>
        <w:snapToGrid w:val="0"/>
        <w:spacing w:beforeLines="50" w:line="600" w:lineRule="exact"/>
        <w:ind w:firstLine="630" w:firstLineChars="196"/>
        <w:rPr>
          <w:rStyle w:val="12"/>
          <w:rFonts w:ascii="FangSong_GB2312" w:hAnsi="仿宋" w:eastAsia="FangSong_GB2312"/>
          <w:b w:val="0"/>
          <w:color w:val="000000" w:themeColor="text1"/>
          <w:sz w:val="32"/>
          <w:szCs w:val="32"/>
          <w14:textFill>
            <w14:solidFill>
              <w14:schemeClr w14:val="tx1"/>
            </w14:solidFill>
          </w14:textFill>
        </w:rPr>
      </w:pPr>
      <w:r>
        <w:rPr>
          <w:rStyle w:val="12"/>
          <w:rFonts w:hint="eastAsia" w:ascii="FangSong_GB2312" w:hAnsi="仿宋" w:eastAsia="FangSong_GB2312" w:cs="Times New Roman"/>
          <w:color w:val="000000" w:themeColor="text1"/>
          <w:sz w:val="32"/>
          <w:szCs w:val="32"/>
          <w14:textFill>
            <w14:solidFill>
              <w14:schemeClr w14:val="tx1"/>
            </w14:solidFill>
          </w14:textFill>
        </w:rPr>
        <w:t>4、</w:t>
      </w:r>
      <w:r>
        <w:rPr>
          <w:rStyle w:val="12"/>
          <w:rFonts w:hint="eastAsia" w:ascii="FangSong_GB2312" w:hAnsi="仿宋" w:eastAsia="FangSong_GB2312"/>
          <w:color w:val="000000" w:themeColor="text1"/>
          <w:sz w:val="32"/>
          <w:szCs w:val="32"/>
          <w14:textFill>
            <w14:solidFill>
              <w14:schemeClr w14:val="tx1"/>
            </w14:solidFill>
          </w14:textFill>
        </w:rPr>
        <w:t>加强涉农资金使用监管。</w:t>
      </w:r>
      <w:r>
        <w:rPr>
          <w:rStyle w:val="12"/>
          <w:rFonts w:hint="eastAsia" w:ascii="FangSong_GB2312" w:hAnsi="仿宋" w:eastAsia="FangSong_GB2312"/>
          <w:b w:val="0"/>
          <w:color w:val="000000" w:themeColor="text1"/>
          <w:sz w:val="32"/>
          <w:szCs w:val="32"/>
          <w14:textFill>
            <w14:solidFill>
              <w14:schemeClr w14:val="tx1"/>
            </w14:solidFill>
          </w14:textFill>
        </w:rPr>
        <w:t>综合运用信息化和大数据技术，强化支农资金监督管理，提高财政支农资金使用绩效。全面提升乡村振兴重大专项资金管理水平和使用效益。</w:t>
      </w:r>
    </w:p>
    <w:p>
      <w:pPr>
        <w:widowControl/>
        <w:shd w:val="clear" w:color="auto" w:fill="FFFFFF"/>
        <w:adjustRightInd w:val="0"/>
        <w:snapToGrid w:val="0"/>
        <w:spacing w:beforeLines="150"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四、保障措施</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left"/>
        <w:textAlignment w:val="auto"/>
        <w:outlineLvl w:val="0"/>
        <w:rPr>
          <w:rFonts w:ascii="楷体" w:hAnsi="楷体" w:eastAsia="楷体" w:cs="宋体"/>
          <w:b/>
          <w:color w:val="333333"/>
          <w:kern w:val="0"/>
          <w:sz w:val="32"/>
          <w:szCs w:val="32"/>
        </w:rPr>
      </w:pPr>
      <w:r>
        <w:rPr>
          <w:rFonts w:ascii="楷体" w:hAnsi="楷体" w:eastAsia="楷体" w:cs="宋体"/>
          <w:b/>
          <w:color w:val="333333"/>
          <w:kern w:val="0"/>
          <w:sz w:val="32"/>
          <w:szCs w:val="32"/>
        </w:rPr>
        <w:t>（一）制度保障</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left"/>
        <w:textAlignment w:val="auto"/>
        <w:rPr>
          <w:rFonts w:ascii="FangSong_GB2312" w:hAnsi="仿宋" w:eastAsia="FangSong_GB2312" w:cs="宋体"/>
          <w:color w:val="333333"/>
          <w:kern w:val="0"/>
          <w:sz w:val="32"/>
          <w:szCs w:val="32"/>
        </w:rPr>
      </w:pPr>
      <w:r>
        <w:rPr>
          <w:rFonts w:hint="eastAsia" w:ascii="FangSong_GB2312" w:hAnsi="仿宋" w:eastAsia="FangSong_GB2312" w:cs="宋体"/>
          <w:color w:val="333333"/>
          <w:kern w:val="0"/>
          <w:sz w:val="32"/>
          <w:szCs w:val="32"/>
        </w:rPr>
        <w:t>牢固树立法治理念，强化规则意识和契约精神，始终坚持依法行政，注重运用法律制度来规范财政管理，不断创新完善财政治理方式，切实把财政管理活动全面纳入法治化、透明化的运行轨道。继续开展财政规范性文件的废、改、立工作，完善大额专项资金管理办法，加强合法合规性审查和制度廉洁性评估。加快推进全县财税综合信息平台一体化建设，运用大数据战略打造数字财政，进一步完善信息采集、共享、处理、应用、保密等管理制度，实现财政信息化由支撑业务管理向业务管理和决策支持并重转变。</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left"/>
        <w:textAlignment w:val="auto"/>
        <w:outlineLvl w:val="0"/>
        <w:rPr>
          <w:rFonts w:ascii="楷体" w:hAnsi="楷体" w:eastAsia="楷体" w:cs="宋体"/>
          <w:b/>
          <w:color w:val="333333"/>
          <w:kern w:val="0"/>
          <w:sz w:val="32"/>
          <w:szCs w:val="32"/>
        </w:rPr>
      </w:pPr>
      <w:r>
        <w:rPr>
          <w:rFonts w:hint="eastAsia" w:ascii="楷体" w:hAnsi="楷体" w:eastAsia="楷体" w:cs="宋体"/>
          <w:b/>
          <w:color w:val="333333"/>
          <w:kern w:val="0"/>
          <w:sz w:val="32"/>
          <w:szCs w:val="32"/>
        </w:rPr>
        <w:t>（二）机制保障</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left"/>
        <w:textAlignment w:val="auto"/>
        <w:rPr>
          <w:rFonts w:ascii="FangSong_GB2312" w:hAnsi="仿宋" w:eastAsia="FangSong_GB2312" w:cs="宋体"/>
          <w:color w:val="333333"/>
          <w:kern w:val="0"/>
          <w:sz w:val="32"/>
          <w:szCs w:val="32"/>
        </w:rPr>
      </w:pPr>
      <w:r>
        <w:rPr>
          <w:rFonts w:hint="eastAsia" w:ascii="FangSong_GB2312" w:hAnsi="仿宋" w:eastAsia="FangSong_GB2312" w:cs="宋体"/>
          <w:color w:val="333333"/>
          <w:kern w:val="0"/>
          <w:sz w:val="32"/>
          <w:szCs w:val="32"/>
        </w:rPr>
        <w:t>明确规划考核的责任主体和实施进度要求。落实工作责任，将约束性指标逐层分解落实下去，对预期性指标加强跟踪分析和政策引导，确保如期完成。建立健全年度计划与规划衔接的机制，明确规划重点任务的时间安排和顺序，在本规划实施的中期阶段，对规划实施情况进行中期评估。建立规划实施的跟踪监控机制。明确专门机构负责监督规划的执行，加强督促检</w:t>
      </w:r>
      <w:r>
        <w:rPr>
          <w:rFonts w:hint="eastAsia" w:ascii="FangSong_GB2312" w:hAnsi="仿宋" w:eastAsia="仿宋" w:cs="宋体"/>
          <w:color w:val="333333"/>
          <w:kern w:val="0"/>
          <w:sz w:val="32"/>
          <w:szCs w:val="32"/>
        </w:rPr>
        <w:t>査</w:t>
      </w:r>
      <w:r>
        <w:rPr>
          <w:rFonts w:hint="eastAsia" w:ascii="FangSong_GB2312" w:hAnsi="仿宋" w:eastAsia="FangSong_GB2312" w:cs="宋体"/>
          <w:color w:val="333333"/>
          <w:kern w:val="0"/>
          <w:sz w:val="32"/>
          <w:szCs w:val="32"/>
        </w:rPr>
        <w:t>，根据责任配置资源，加强规划建设项目的可考核性，并防控廉政风险。严把改革质量关。一项一项出台改革政策、一项一项督促落实，破除思维定势、工作惯性和路径依赖，确保财税改革方向、质量、进度整体可控，并建立改革“容错机制”，推动改革落地。</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left"/>
        <w:textAlignment w:val="auto"/>
        <w:outlineLvl w:val="0"/>
        <w:rPr>
          <w:rFonts w:ascii="楷体" w:hAnsi="楷体" w:eastAsia="楷体" w:cs="宋体"/>
          <w:b/>
          <w:color w:val="333333"/>
          <w:kern w:val="0"/>
          <w:sz w:val="32"/>
          <w:szCs w:val="32"/>
        </w:rPr>
      </w:pPr>
      <w:r>
        <w:rPr>
          <w:rFonts w:hint="eastAsia" w:ascii="楷体" w:hAnsi="楷体" w:eastAsia="楷体" w:cs="宋体"/>
          <w:b/>
          <w:color w:val="333333"/>
          <w:kern w:val="0"/>
          <w:sz w:val="32"/>
          <w:szCs w:val="32"/>
        </w:rPr>
        <w:t>（三）组织保障</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left"/>
        <w:textAlignment w:val="auto"/>
        <w:rPr>
          <w:rFonts w:hint="eastAsia" w:ascii="FangSong_GB2312" w:hAnsi="仿宋" w:eastAsia="FangSong_GB2312" w:cs="宋体"/>
          <w:color w:val="333333"/>
          <w:kern w:val="0"/>
          <w:sz w:val="32"/>
          <w:szCs w:val="32"/>
        </w:rPr>
      </w:pPr>
      <w:r>
        <w:rPr>
          <w:rFonts w:hint="eastAsia" w:ascii="FangSong_GB2312" w:hAnsi="仿宋" w:eastAsia="FangSong_GB2312" w:cs="宋体"/>
          <w:color w:val="333333"/>
          <w:kern w:val="0"/>
          <w:sz w:val="32"/>
          <w:szCs w:val="32"/>
        </w:rPr>
        <w:t>建立健全依法行政、依法理财的领导体制，不断提升财政系统内各级领导班子以科学发展观准确分析形势的能力、科学决策的能力、把握大局的能力、驾驭复杂局面的能力和推进财政发展的能力。探索成立预算编审委员会，协同推进预算编制、执行与监督权适度分离与制衡。有效推进财政部门内控建设，建立内部控制基本制度、专项风险内部控制办法、内部控制操作规程三级内控体系，做好内控信息化工作，强化问责和内控结果运用，有效防范各类业务、管理和廉政风险。</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left"/>
        <w:textAlignment w:val="auto"/>
        <w:outlineLvl w:val="0"/>
        <w:rPr>
          <w:rFonts w:ascii="楷体" w:hAnsi="楷体" w:eastAsia="楷体" w:cs="宋体"/>
          <w:b/>
          <w:kern w:val="0"/>
          <w:sz w:val="32"/>
          <w:szCs w:val="32"/>
        </w:rPr>
      </w:pPr>
      <w:r>
        <w:rPr>
          <w:rFonts w:hint="eastAsia" w:ascii="楷体" w:hAnsi="楷体" w:eastAsia="楷体" w:cs="宋体"/>
          <w:b/>
          <w:color w:val="333333"/>
          <w:kern w:val="0"/>
          <w:sz w:val="32"/>
          <w:szCs w:val="32"/>
        </w:rPr>
        <w:t>（</w:t>
      </w:r>
      <w:r>
        <w:rPr>
          <w:rFonts w:hint="eastAsia" w:ascii="楷体" w:hAnsi="楷体" w:eastAsia="楷体" w:cs="宋体"/>
          <w:b/>
          <w:kern w:val="0"/>
          <w:sz w:val="32"/>
          <w:szCs w:val="32"/>
        </w:rPr>
        <w:t>四）人才保障</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3" w:firstLineChars="200"/>
        <w:jc w:val="left"/>
        <w:textAlignment w:val="auto"/>
        <w:rPr>
          <w:rFonts w:ascii="FangSong_GB2312" w:hAnsi="仿宋" w:eastAsia="FangSong_GB2312"/>
          <w:spacing w:val="12"/>
          <w:sz w:val="32"/>
          <w:szCs w:val="32"/>
          <w:shd w:val="clear" w:color="auto" w:fill="FFFFFF"/>
        </w:rPr>
      </w:pPr>
      <w:r>
        <w:rPr>
          <w:rFonts w:hint="eastAsia" w:ascii="FangSong_GB2312" w:hAnsi="仿宋" w:eastAsia="FangSong_GB2312" w:cs="宋体"/>
          <w:b/>
          <w:kern w:val="0"/>
          <w:sz w:val="32"/>
          <w:szCs w:val="32"/>
        </w:rPr>
        <w:t>——进一步</w:t>
      </w:r>
      <w:r>
        <w:rPr>
          <w:rFonts w:hint="eastAsia" w:ascii="FangSong_GB2312" w:hAnsi="仿宋" w:eastAsia="FangSong_GB2312"/>
          <w:b/>
          <w:spacing w:val="12"/>
          <w:sz w:val="32"/>
          <w:szCs w:val="32"/>
          <w:shd w:val="clear" w:color="auto" w:fill="FFFFFF"/>
        </w:rPr>
        <w:t>强化政治建设。</w:t>
      </w:r>
      <w:r>
        <w:rPr>
          <w:rFonts w:hint="eastAsia" w:ascii="FangSong_GB2312" w:hAnsi="仿宋" w:eastAsia="FangSong_GB2312"/>
          <w:spacing w:val="12"/>
          <w:sz w:val="32"/>
          <w:szCs w:val="32"/>
          <w:shd w:val="clear" w:color="auto" w:fill="FFFFFF"/>
        </w:rPr>
        <w:t>深入学习贯彻习近平总书记关于干部队伍建设和人才工作的重要论述，进一步增强“四个意识”、坚定“四个自信”、坚决做到“两个维护”，坚持以党的政治建设为统领，纵深推进财政干部队伍建设，持续加强财政政治生活、政治文化、政治生态建设，提升财政党员干部政治素质和政治定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91" w:firstLineChars="200"/>
        <w:jc w:val="left"/>
        <w:textAlignment w:val="auto"/>
        <w:rPr>
          <w:rFonts w:ascii="FangSong_GB2312" w:hAnsi="仿宋" w:eastAsia="FangSong_GB2312"/>
          <w:spacing w:val="12"/>
          <w:sz w:val="32"/>
          <w:szCs w:val="32"/>
          <w:shd w:val="clear" w:color="auto" w:fill="FFFFFF"/>
        </w:rPr>
      </w:pPr>
      <w:r>
        <w:rPr>
          <w:rFonts w:hint="eastAsia" w:ascii="FangSong_GB2312" w:hAnsi="仿宋" w:eastAsia="FangSong_GB2312"/>
          <w:b/>
          <w:spacing w:val="12"/>
          <w:sz w:val="32"/>
          <w:szCs w:val="32"/>
          <w:shd w:val="clear" w:color="auto" w:fill="FFFFFF"/>
        </w:rPr>
        <w:t>——进一步强化理论武装。</w:t>
      </w:r>
      <w:r>
        <w:rPr>
          <w:rFonts w:hint="eastAsia" w:ascii="FangSong_GB2312" w:hAnsi="仿宋" w:eastAsia="FangSong_GB2312" w:cs="宋体"/>
          <w:kern w:val="0"/>
          <w:sz w:val="32"/>
          <w:szCs w:val="32"/>
        </w:rPr>
        <w:t>开展</w:t>
      </w:r>
      <w:r>
        <w:rPr>
          <w:rFonts w:hint="eastAsia" w:ascii="FangSong_GB2312" w:hAnsi="仿宋" w:eastAsia="FangSong_GB2312"/>
          <w:sz w:val="32"/>
          <w:szCs w:val="32"/>
          <w:shd w:val="clear" w:color="auto" w:fill="FFFFFF"/>
        </w:rPr>
        <w:t>“</w:t>
      </w:r>
      <w:r>
        <w:rPr>
          <w:rFonts w:hint="eastAsia" w:ascii="FangSong_GB2312" w:hAnsi="仿宋" w:eastAsia="FangSong_GB2312"/>
          <w:spacing w:val="12"/>
          <w:sz w:val="32"/>
          <w:szCs w:val="32"/>
          <w:shd w:val="clear" w:color="auto" w:fill="FFFFFF"/>
        </w:rPr>
        <w:t>不忘初心、牢记使命</w:t>
      </w:r>
      <w:r>
        <w:rPr>
          <w:rFonts w:hint="eastAsia" w:ascii="FangSong_GB2312" w:hAnsi="仿宋" w:eastAsia="FangSong_GB2312"/>
          <w:sz w:val="32"/>
          <w:szCs w:val="32"/>
          <w:shd w:val="clear" w:color="auto" w:fill="FFFFFF"/>
        </w:rPr>
        <w:t>主题教育</w:t>
      </w:r>
      <w:r>
        <w:rPr>
          <w:rFonts w:hint="eastAsia" w:ascii="FangSong_GB2312" w:hAnsi="仿宋" w:eastAsia="FangSong_GB2312"/>
          <w:spacing w:val="12"/>
          <w:sz w:val="32"/>
          <w:szCs w:val="32"/>
          <w:shd w:val="clear" w:color="auto" w:fill="FFFFFF"/>
        </w:rPr>
        <w:t>，巩固深化主题教育成果，加强县乡财政干部培训和指导，推动学习贯彻习近平新时代中国特色社会主义思想往深里走、往心里走、往实里走，常学常新、日积月累、学以致用，加强财政干部理想信念教育和对党忠诚教育，确保新时代财政事业始终沿着正确方向前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91" w:firstLineChars="200"/>
        <w:jc w:val="left"/>
        <w:textAlignment w:val="auto"/>
        <w:rPr>
          <w:rFonts w:ascii="FangSong_GB2312" w:hAnsi="仿宋" w:eastAsia="FangSong_GB2312" w:cs="宋体"/>
          <w:kern w:val="0"/>
          <w:sz w:val="32"/>
          <w:szCs w:val="32"/>
        </w:rPr>
      </w:pPr>
      <w:r>
        <w:rPr>
          <w:rFonts w:hint="eastAsia" w:ascii="FangSong_GB2312" w:hAnsi="仿宋" w:eastAsia="FangSong_GB2312"/>
          <w:b/>
          <w:spacing w:val="12"/>
          <w:sz w:val="32"/>
          <w:szCs w:val="32"/>
          <w:shd w:val="clear" w:color="auto" w:fill="FFFFFF"/>
        </w:rPr>
        <w:t>——进一步强化培养选拔。</w:t>
      </w:r>
      <w:r>
        <w:rPr>
          <w:rFonts w:hint="eastAsia" w:ascii="FangSong_GB2312" w:hAnsi="仿宋" w:eastAsia="FangSong_GB2312"/>
          <w:spacing w:val="12"/>
          <w:sz w:val="32"/>
          <w:szCs w:val="32"/>
          <w:shd w:val="clear" w:color="auto" w:fill="FFFFFF"/>
        </w:rPr>
        <w:t>严格落实新时代“好干部”标准，把财政干部人才培养选拔与财政事业发展需要结合起来，注重在落实党的路线方针政策一线，在重点工作</w:t>
      </w:r>
      <w:r>
        <w:rPr>
          <w:rFonts w:hint="eastAsia" w:ascii="FangSong_GB2312" w:hAnsi="仿宋" w:eastAsia="FangSong_GB2312"/>
          <w:spacing w:val="12"/>
          <w:sz w:val="32"/>
          <w:szCs w:val="32"/>
          <w:shd w:val="clear" w:color="auto" w:fill="FFFFFF"/>
          <w:lang w:eastAsia="zh-CN"/>
        </w:rPr>
        <w:t>、</w:t>
      </w:r>
      <w:r>
        <w:rPr>
          <w:rFonts w:hint="eastAsia" w:ascii="FangSong_GB2312" w:hAnsi="仿宋" w:eastAsia="FangSong_GB2312"/>
          <w:spacing w:val="12"/>
          <w:sz w:val="32"/>
          <w:szCs w:val="32"/>
          <w:shd w:val="clear" w:color="auto" w:fill="FFFFFF"/>
          <w:lang w:val="en-US" w:eastAsia="zh-CN"/>
        </w:rPr>
        <w:t>重大项目、重大工程</w:t>
      </w:r>
      <w:r>
        <w:rPr>
          <w:rFonts w:hint="eastAsia" w:ascii="FangSong_GB2312" w:hAnsi="仿宋" w:eastAsia="FangSong_GB2312"/>
          <w:spacing w:val="12"/>
          <w:sz w:val="32"/>
          <w:szCs w:val="32"/>
          <w:shd w:val="clear" w:color="auto" w:fill="FFFFFF"/>
        </w:rPr>
        <w:t>中考察干部，引导财政干部在财税改革推进中迎难而上，持续加强思想淬炼、政治历练、实践锻炼、专业训练，增强必胜、责任、仁爱、谨慎之心，在直面矛盾、攻坚克难中勇担当、善作为。</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91" w:firstLineChars="200"/>
        <w:jc w:val="left"/>
        <w:textAlignment w:val="auto"/>
        <w:rPr>
          <w:rFonts w:ascii="仿宋" w:hAnsi="仿宋" w:eastAsia="仿宋"/>
          <w:spacing w:val="12"/>
          <w:sz w:val="32"/>
          <w:szCs w:val="32"/>
          <w:shd w:val="clear" w:color="auto" w:fill="FFFFFF"/>
        </w:rPr>
      </w:pPr>
      <w:r>
        <w:rPr>
          <w:rFonts w:hint="eastAsia" w:ascii="FangSong_GB2312" w:hAnsi="仿宋" w:eastAsia="FangSong_GB2312"/>
          <w:b/>
          <w:spacing w:val="12"/>
          <w:sz w:val="32"/>
          <w:szCs w:val="32"/>
          <w:shd w:val="clear" w:color="auto" w:fill="FFFFFF"/>
        </w:rPr>
        <w:t>——进一步强化管理责任。</w:t>
      </w:r>
      <w:r>
        <w:rPr>
          <w:rFonts w:hint="eastAsia" w:ascii="FangSong_GB2312" w:hAnsi="仿宋" w:eastAsia="FangSong_GB2312"/>
          <w:spacing w:val="12"/>
          <w:sz w:val="32"/>
          <w:szCs w:val="32"/>
          <w:shd w:val="clear" w:color="auto" w:fill="FFFFFF"/>
        </w:rPr>
        <w:t>严格落实局党组主体责任、局领导“一岗双责”，坚持五湖四海、公道正派，保持“不要找”的政治生态，围绕干部教育、培养、选拨、使用、考核等方面，完善更加科学具体、常态长效的机制，</w:t>
      </w:r>
      <w:r>
        <w:rPr>
          <w:rFonts w:hint="eastAsia" w:ascii="FangSong_GB2312" w:hAnsi="仿宋" w:eastAsia="FangSong_GB2312"/>
          <w:sz w:val="32"/>
          <w:szCs w:val="32"/>
          <w:shd w:val="clear" w:color="auto" w:fill="FFFFFF"/>
        </w:rPr>
        <w:t>把知敬畏、存戒惧、守底线落实到工作生活当中，养成受监督和约束的行为自觉与基本修养，</w:t>
      </w:r>
      <w:r>
        <w:rPr>
          <w:rFonts w:hint="eastAsia" w:ascii="FangSong_GB2312" w:hAnsi="仿宋" w:eastAsia="FangSong_GB2312"/>
          <w:spacing w:val="12"/>
          <w:sz w:val="32"/>
          <w:szCs w:val="32"/>
          <w:shd w:val="clear" w:color="auto" w:fill="FFFFFF"/>
        </w:rPr>
        <w:t>力戒形式主义、官僚主义，推动财政干部廉洁理财、坚守底线。</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angSong_GB2312">
    <w:altName w:val="仿宋"/>
    <w:panose1 w:val="00000000000000000000"/>
    <w:charset w:val="00"/>
    <w:family w:val="roman"/>
    <w:pitch w:val="default"/>
    <w:sig w:usb0="00000000" w:usb1="00000000" w:usb2="00000000" w:usb3="00000000" w:csb0="00000000" w:csb1="00000000"/>
  </w:font>
  <w:font w:name="KaiTi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fldChar w:fldCharType="begin"/>
    </w:r>
    <w:r>
      <w:instrText xml:space="preserve"> PAGE   \* MERGEFORMAT </w:instrText>
    </w:r>
    <w:r>
      <w:fldChar w:fldCharType="separate"/>
    </w:r>
    <w:r>
      <w:rPr>
        <w:rFonts w:hint="eastAsia"/>
        <w:lang w:val="zh-CN"/>
      </w:rPr>
      <w:t>2</w:t>
    </w:r>
    <w:r>
      <w:rPr>
        <w:lang w:val="zh-CN"/>
      </w:rPr>
      <w:fldChar w:fldCharType="end"/>
    </w:r>
  </w:p>
  <w:p>
    <w:pPr>
      <w:pStyle w:val="7"/>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75F97"/>
    <w:multiLevelType w:val="multilevel"/>
    <w:tmpl w:val="3BE75F97"/>
    <w:lvl w:ilvl="0" w:tentative="0">
      <w:start w:val="2021"/>
      <w:numFmt w:val="decimal"/>
      <w:lvlText w:val="（%1-"/>
      <w:lvlJc w:val="left"/>
      <w:pPr>
        <w:ind w:left="2196" w:hanging="2196"/>
      </w:pPr>
      <w:rPr>
        <w:rFonts w:hint="default" w:hAnsi="Times New Roman"/>
      </w:rPr>
    </w:lvl>
    <w:lvl w:ilvl="1" w:tentative="0">
      <w:start w:val="2025"/>
      <w:numFmt w:val="decimal"/>
      <w:lvlText w:val="（%1-%2）"/>
      <w:lvlJc w:val="left"/>
      <w:pPr>
        <w:ind w:left="2196" w:hanging="2196"/>
      </w:pPr>
      <w:rPr>
        <w:rFonts w:hint="default" w:hAnsi="Times New Roman"/>
      </w:rPr>
    </w:lvl>
    <w:lvl w:ilvl="2" w:tentative="0">
      <w:start w:val="1"/>
      <w:numFmt w:val="decimal"/>
      <w:lvlText w:val="（%1-%2）%3."/>
      <w:lvlJc w:val="left"/>
      <w:pPr>
        <w:ind w:left="2196" w:hanging="2196"/>
      </w:pPr>
      <w:rPr>
        <w:rFonts w:hint="default" w:hAnsi="Times New Roman"/>
      </w:rPr>
    </w:lvl>
    <w:lvl w:ilvl="3" w:tentative="0">
      <w:start w:val="1"/>
      <w:numFmt w:val="decimal"/>
      <w:lvlText w:val="（%1-%2）%3.%4."/>
      <w:lvlJc w:val="left"/>
      <w:pPr>
        <w:ind w:left="2196" w:hanging="2196"/>
      </w:pPr>
      <w:rPr>
        <w:rFonts w:hint="default" w:hAnsi="Times New Roman"/>
      </w:rPr>
    </w:lvl>
    <w:lvl w:ilvl="4" w:tentative="0">
      <w:start w:val="1"/>
      <w:numFmt w:val="decimal"/>
      <w:lvlText w:val="（%1-%2）%3.%4.%5."/>
      <w:lvlJc w:val="left"/>
      <w:pPr>
        <w:ind w:left="2520" w:hanging="2520"/>
      </w:pPr>
      <w:rPr>
        <w:rFonts w:hint="default" w:hAnsi="Times New Roman"/>
      </w:rPr>
    </w:lvl>
    <w:lvl w:ilvl="5" w:tentative="0">
      <w:start w:val="1"/>
      <w:numFmt w:val="decimal"/>
      <w:lvlText w:val="（%1-%2）%3.%4.%5.%6."/>
      <w:lvlJc w:val="left"/>
      <w:pPr>
        <w:ind w:left="2880" w:hanging="2880"/>
      </w:pPr>
      <w:rPr>
        <w:rFonts w:hint="default" w:hAnsi="Times New Roman"/>
      </w:rPr>
    </w:lvl>
    <w:lvl w:ilvl="6" w:tentative="0">
      <w:start w:val="1"/>
      <w:numFmt w:val="decimal"/>
      <w:lvlText w:val="（%1-%2）%3.%4.%5.%6.%7."/>
      <w:lvlJc w:val="left"/>
      <w:pPr>
        <w:ind w:left="3240" w:hanging="3240"/>
      </w:pPr>
      <w:rPr>
        <w:rFonts w:hint="default" w:hAnsi="Times New Roman"/>
      </w:rPr>
    </w:lvl>
    <w:lvl w:ilvl="7" w:tentative="0">
      <w:start w:val="1"/>
      <w:numFmt w:val="decimal"/>
      <w:lvlText w:val="（%1-%2）%3.%4.%5.%6.%7.%8."/>
      <w:lvlJc w:val="left"/>
      <w:pPr>
        <w:ind w:left="3600" w:hanging="3600"/>
      </w:pPr>
      <w:rPr>
        <w:rFonts w:hint="default" w:hAnsi="Times New Roman"/>
      </w:rPr>
    </w:lvl>
    <w:lvl w:ilvl="8" w:tentative="0">
      <w:start w:val="1"/>
      <w:numFmt w:val="decimal"/>
      <w:lvlText w:val="（%1-%2）%3.%4.%5.%6.%7.%8.%9."/>
      <w:lvlJc w:val="left"/>
      <w:pPr>
        <w:ind w:left="3960" w:hanging="3960"/>
      </w:pPr>
      <w:rPr>
        <w:rFonts w:hint="default"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19"/>
    <w:rsid w:val="0000298C"/>
    <w:rsid w:val="00002FF8"/>
    <w:rsid w:val="00005746"/>
    <w:rsid w:val="00013C8A"/>
    <w:rsid w:val="0001789C"/>
    <w:rsid w:val="000240E0"/>
    <w:rsid w:val="00044028"/>
    <w:rsid w:val="00053E50"/>
    <w:rsid w:val="00061164"/>
    <w:rsid w:val="000753E9"/>
    <w:rsid w:val="000770E6"/>
    <w:rsid w:val="0008692A"/>
    <w:rsid w:val="00086E78"/>
    <w:rsid w:val="00096BF0"/>
    <w:rsid w:val="000B0476"/>
    <w:rsid w:val="000B52B1"/>
    <w:rsid w:val="000B692A"/>
    <w:rsid w:val="000B69AF"/>
    <w:rsid w:val="000C170D"/>
    <w:rsid w:val="000C35B0"/>
    <w:rsid w:val="000C3A1D"/>
    <w:rsid w:val="000D22F4"/>
    <w:rsid w:val="000D7193"/>
    <w:rsid w:val="000E4399"/>
    <w:rsid w:val="000F37D9"/>
    <w:rsid w:val="000F66C4"/>
    <w:rsid w:val="00101EC9"/>
    <w:rsid w:val="001078F5"/>
    <w:rsid w:val="0011693A"/>
    <w:rsid w:val="0012102C"/>
    <w:rsid w:val="00121FF2"/>
    <w:rsid w:val="00123AA8"/>
    <w:rsid w:val="001270AE"/>
    <w:rsid w:val="00134A3D"/>
    <w:rsid w:val="00136B22"/>
    <w:rsid w:val="00136EB9"/>
    <w:rsid w:val="0014130F"/>
    <w:rsid w:val="00144070"/>
    <w:rsid w:val="00147124"/>
    <w:rsid w:val="00153B42"/>
    <w:rsid w:val="00157C42"/>
    <w:rsid w:val="00163753"/>
    <w:rsid w:val="001815F0"/>
    <w:rsid w:val="0018471E"/>
    <w:rsid w:val="00184857"/>
    <w:rsid w:val="00186FDB"/>
    <w:rsid w:val="001977B1"/>
    <w:rsid w:val="001A0BB1"/>
    <w:rsid w:val="001A56D2"/>
    <w:rsid w:val="001A74A0"/>
    <w:rsid w:val="001C08FF"/>
    <w:rsid w:val="001C1753"/>
    <w:rsid w:val="001C1A0B"/>
    <w:rsid w:val="001D0428"/>
    <w:rsid w:val="001D0EB4"/>
    <w:rsid w:val="001D2F5F"/>
    <w:rsid w:val="001E3079"/>
    <w:rsid w:val="001E423C"/>
    <w:rsid w:val="001F1AFB"/>
    <w:rsid w:val="001F2A13"/>
    <w:rsid w:val="001F32EA"/>
    <w:rsid w:val="001F6E42"/>
    <w:rsid w:val="00202A5A"/>
    <w:rsid w:val="002047C9"/>
    <w:rsid w:val="00207091"/>
    <w:rsid w:val="002156D3"/>
    <w:rsid w:val="00215981"/>
    <w:rsid w:val="00217459"/>
    <w:rsid w:val="0021768A"/>
    <w:rsid w:val="00221D64"/>
    <w:rsid w:val="002264EB"/>
    <w:rsid w:val="00235324"/>
    <w:rsid w:val="00236B05"/>
    <w:rsid w:val="00242632"/>
    <w:rsid w:val="00260B25"/>
    <w:rsid w:val="00263C34"/>
    <w:rsid w:val="00265479"/>
    <w:rsid w:val="0027033B"/>
    <w:rsid w:val="00271B90"/>
    <w:rsid w:val="00274479"/>
    <w:rsid w:val="00275FB8"/>
    <w:rsid w:val="00297D67"/>
    <w:rsid w:val="00297EE7"/>
    <w:rsid w:val="002A2DC6"/>
    <w:rsid w:val="002A4277"/>
    <w:rsid w:val="002A4B36"/>
    <w:rsid w:val="002A5BDC"/>
    <w:rsid w:val="002B07D5"/>
    <w:rsid w:val="002B224F"/>
    <w:rsid w:val="002B2EA9"/>
    <w:rsid w:val="002B4699"/>
    <w:rsid w:val="002D4E4D"/>
    <w:rsid w:val="002D76B5"/>
    <w:rsid w:val="002E0B17"/>
    <w:rsid w:val="002F419C"/>
    <w:rsid w:val="00300EDB"/>
    <w:rsid w:val="00307A77"/>
    <w:rsid w:val="00316950"/>
    <w:rsid w:val="00316D53"/>
    <w:rsid w:val="003204C1"/>
    <w:rsid w:val="00325983"/>
    <w:rsid w:val="00325E50"/>
    <w:rsid w:val="00330F32"/>
    <w:rsid w:val="003317EE"/>
    <w:rsid w:val="003336D8"/>
    <w:rsid w:val="0033745B"/>
    <w:rsid w:val="003426B6"/>
    <w:rsid w:val="00346628"/>
    <w:rsid w:val="00352DCC"/>
    <w:rsid w:val="003539B1"/>
    <w:rsid w:val="0037644A"/>
    <w:rsid w:val="00376476"/>
    <w:rsid w:val="00394FAC"/>
    <w:rsid w:val="003A7170"/>
    <w:rsid w:val="003B259D"/>
    <w:rsid w:val="003B2B5E"/>
    <w:rsid w:val="003B57E6"/>
    <w:rsid w:val="003B5C30"/>
    <w:rsid w:val="003B7B33"/>
    <w:rsid w:val="003C238A"/>
    <w:rsid w:val="003D0B72"/>
    <w:rsid w:val="003E3F16"/>
    <w:rsid w:val="003E4092"/>
    <w:rsid w:val="003E5AF1"/>
    <w:rsid w:val="003E6FB0"/>
    <w:rsid w:val="003F1BC6"/>
    <w:rsid w:val="00401B89"/>
    <w:rsid w:val="00402C86"/>
    <w:rsid w:val="004067BA"/>
    <w:rsid w:val="00411878"/>
    <w:rsid w:val="004150BB"/>
    <w:rsid w:val="0042344D"/>
    <w:rsid w:val="00434C38"/>
    <w:rsid w:val="004434D3"/>
    <w:rsid w:val="00445B79"/>
    <w:rsid w:val="00445B8C"/>
    <w:rsid w:val="00451339"/>
    <w:rsid w:val="00454CAE"/>
    <w:rsid w:val="0045596F"/>
    <w:rsid w:val="004575C7"/>
    <w:rsid w:val="0046116D"/>
    <w:rsid w:val="00463B65"/>
    <w:rsid w:val="00467FBD"/>
    <w:rsid w:val="0047072A"/>
    <w:rsid w:val="00473710"/>
    <w:rsid w:val="004763BD"/>
    <w:rsid w:val="004867B6"/>
    <w:rsid w:val="0049209E"/>
    <w:rsid w:val="0049441A"/>
    <w:rsid w:val="004A6C62"/>
    <w:rsid w:val="004A7C11"/>
    <w:rsid w:val="004B4C5F"/>
    <w:rsid w:val="004C3978"/>
    <w:rsid w:val="004D2ABA"/>
    <w:rsid w:val="004E0E37"/>
    <w:rsid w:val="004F17F4"/>
    <w:rsid w:val="004F313A"/>
    <w:rsid w:val="004F5EF0"/>
    <w:rsid w:val="004F6E33"/>
    <w:rsid w:val="00507A97"/>
    <w:rsid w:val="00507B48"/>
    <w:rsid w:val="005112A5"/>
    <w:rsid w:val="00513704"/>
    <w:rsid w:val="00527892"/>
    <w:rsid w:val="0053709E"/>
    <w:rsid w:val="00537532"/>
    <w:rsid w:val="005401AC"/>
    <w:rsid w:val="00552FCF"/>
    <w:rsid w:val="00553E83"/>
    <w:rsid w:val="00554451"/>
    <w:rsid w:val="00561587"/>
    <w:rsid w:val="005633C2"/>
    <w:rsid w:val="0056504E"/>
    <w:rsid w:val="00565ADB"/>
    <w:rsid w:val="0056633A"/>
    <w:rsid w:val="00571039"/>
    <w:rsid w:val="005722BF"/>
    <w:rsid w:val="00573532"/>
    <w:rsid w:val="00573731"/>
    <w:rsid w:val="005831CB"/>
    <w:rsid w:val="00594E70"/>
    <w:rsid w:val="005A17FA"/>
    <w:rsid w:val="005B5825"/>
    <w:rsid w:val="005C2A20"/>
    <w:rsid w:val="005E3BCA"/>
    <w:rsid w:val="005E4481"/>
    <w:rsid w:val="005E4A33"/>
    <w:rsid w:val="005F0A2E"/>
    <w:rsid w:val="005F1C0E"/>
    <w:rsid w:val="005F2251"/>
    <w:rsid w:val="005F23D6"/>
    <w:rsid w:val="00601B6B"/>
    <w:rsid w:val="0060448E"/>
    <w:rsid w:val="006046BB"/>
    <w:rsid w:val="00604CBF"/>
    <w:rsid w:val="00612208"/>
    <w:rsid w:val="006125F3"/>
    <w:rsid w:val="00636E98"/>
    <w:rsid w:val="00650E61"/>
    <w:rsid w:val="006513D0"/>
    <w:rsid w:val="00661754"/>
    <w:rsid w:val="0066240E"/>
    <w:rsid w:val="006711F8"/>
    <w:rsid w:val="00673B06"/>
    <w:rsid w:val="00673D10"/>
    <w:rsid w:val="006934A6"/>
    <w:rsid w:val="0069514D"/>
    <w:rsid w:val="006A08A6"/>
    <w:rsid w:val="006B1D73"/>
    <w:rsid w:val="006B275C"/>
    <w:rsid w:val="006B6EA0"/>
    <w:rsid w:val="006C2EA3"/>
    <w:rsid w:val="006C3D50"/>
    <w:rsid w:val="006C4F22"/>
    <w:rsid w:val="006C67A5"/>
    <w:rsid w:val="006D7CA6"/>
    <w:rsid w:val="006E0424"/>
    <w:rsid w:val="006E22BC"/>
    <w:rsid w:val="007044B9"/>
    <w:rsid w:val="00705FAF"/>
    <w:rsid w:val="0071077C"/>
    <w:rsid w:val="00722201"/>
    <w:rsid w:val="00726357"/>
    <w:rsid w:val="00740A90"/>
    <w:rsid w:val="00741016"/>
    <w:rsid w:val="00744919"/>
    <w:rsid w:val="00744D51"/>
    <w:rsid w:val="007509CA"/>
    <w:rsid w:val="00751958"/>
    <w:rsid w:val="00752BEF"/>
    <w:rsid w:val="0075350E"/>
    <w:rsid w:val="007543FD"/>
    <w:rsid w:val="0076772B"/>
    <w:rsid w:val="0078301B"/>
    <w:rsid w:val="007909C2"/>
    <w:rsid w:val="007A42AE"/>
    <w:rsid w:val="007A5DEF"/>
    <w:rsid w:val="007C11E6"/>
    <w:rsid w:val="007C1F8F"/>
    <w:rsid w:val="007C2457"/>
    <w:rsid w:val="007C5250"/>
    <w:rsid w:val="007C7420"/>
    <w:rsid w:val="007E0FAE"/>
    <w:rsid w:val="007F36A2"/>
    <w:rsid w:val="007F7078"/>
    <w:rsid w:val="008124DE"/>
    <w:rsid w:val="00813569"/>
    <w:rsid w:val="008163DC"/>
    <w:rsid w:val="00820887"/>
    <w:rsid w:val="008404B6"/>
    <w:rsid w:val="00840A33"/>
    <w:rsid w:val="00855567"/>
    <w:rsid w:val="00860A9F"/>
    <w:rsid w:val="00867FAC"/>
    <w:rsid w:val="00872AAE"/>
    <w:rsid w:val="00877E1F"/>
    <w:rsid w:val="00890DE5"/>
    <w:rsid w:val="00893DA7"/>
    <w:rsid w:val="00894219"/>
    <w:rsid w:val="00894AA9"/>
    <w:rsid w:val="0089642B"/>
    <w:rsid w:val="00896BFD"/>
    <w:rsid w:val="00897996"/>
    <w:rsid w:val="008A0BFD"/>
    <w:rsid w:val="008A5ED2"/>
    <w:rsid w:val="008B0247"/>
    <w:rsid w:val="008B2499"/>
    <w:rsid w:val="008B7CEC"/>
    <w:rsid w:val="008C17C4"/>
    <w:rsid w:val="008D2F4F"/>
    <w:rsid w:val="008D6F19"/>
    <w:rsid w:val="008F77E5"/>
    <w:rsid w:val="00910307"/>
    <w:rsid w:val="00916EFE"/>
    <w:rsid w:val="00925B8A"/>
    <w:rsid w:val="00926F14"/>
    <w:rsid w:val="00927864"/>
    <w:rsid w:val="00935582"/>
    <w:rsid w:val="009454D7"/>
    <w:rsid w:val="00947A44"/>
    <w:rsid w:val="00950992"/>
    <w:rsid w:val="00955449"/>
    <w:rsid w:val="00965F9F"/>
    <w:rsid w:val="0097086A"/>
    <w:rsid w:val="009715BC"/>
    <w:rsid w:val="009742FA"/>
    <w:rsid w:val="00976503"/>
    <w:rsid w:val="00980787"/>
    <w:rsid w:val="009810BD"/>
    <w:rsid w:val="00981520"/>
    <w:rsid w:val="009845D5"/>
    <w:rsid w:val="00991DB8"/>
    <w:rsid w:val="00992756"/>
    <w:rsid w:val="009946EB"/>
    <w:rsid w:val="009A1506"/>
    <w:rsid w:val="009A1ACF"/>
    <w:rsid w:val="009B540B"/>
    <w:rsid w:val="009D0E51"/>
    <w:rsid w:val="009D2A98"/>
    <w:rsid w:val="009D459C"/>
    <w:rsid w:val="009E0C34"/>
    <w:rsid w:val="009F3549"/>
    <w:rsid w:val="009F7FC9"/>
    <w:rsid w:val="00A0332D"/>
    <w:rsid w:val="00A10D16"/>
    <w:rsid w:val="00A1156D"/>
    <w:rsid w:val="00A13C86"/>
    <w:rsid w:val="00A14743"/>
    <w:rsid w:val="00A15CB0"/>
    <w:rsid w:val="00A22ADD"/>
    <w:rsid w:val="00A23482"/>
    <w:rsid w:val="00A30E65"/>
    <w:rsid w:val="00A32F70"/>
    <w:rsid w:val="00A370E4"/>
    <w:rsid w:val="00A417DF"/>
    <w:rsid w:val="00A4411A"/>
    <w:rsid w:val="00A53F39"/>
    <w:rsid w:val="00A6235B"/>
    <w:rsid w:val="00A66E7B"/>
    <w:rsid w:val="00A67482"/>
    <w:rsid w:val="00A717F7"/>
    <w:rsid w:val="00A73792"/>
    <w:rsid w:val="00A7583B"/>
    <w:rsid w:val="00AB677E"/>
    <w:rsid w:val="00AC13D9"/>
    <w:rsid w:val="00AC63CA"/>
    <w:rsid w:val="00AC7521"/>
    <w:rsid w:val="00AD0CFA"/>
    <w:rsid w:val="00AD5770"/>
    <w:rsid w:val="00AD5BAD"/>
    <w:rsid w:val="00AE1A5D"/>
    <w:rsid w:val="00AE5D41"/>
    <w:rsid w:val="00AF053E"/>
    <w:rsid w:val="00AF174B"/>
    <w:rsid w:val="00AF3FA7"/>
    <w:rsid w:val="00AF4BF9"/>
    <w:rsid w:val="00B00D10"/>
    <w:rsid w:val="00B0255E"/>
    <w:rsid w:val="00B0620B"/>
    <w:rsid w:val="00B06717"/>
    <w:rsid w:val="00B23910"/>
    <w:rsid w:val="00B32AB2"/>
    <w:rsid w:val="00B338DA"/>
    <w:rsid w:val="00B446E3"/>
    <w:rsid w:val="00B5132E"/>
    <w:rsid w:val="00B54D44"/>
    <w:rsid w:val="00B611A0"/>
    <w:rsid w:val="00B64FEA"/>
    <w:rsid w:val="00B659DA"/>
    <w:rsid w:val="00B661F5"/>
    <w:rsid w:val="00B6792E"/>
    <w:rsid w:val="00B71D97"/>
    <w:rsid w:val="00B740D1"/>
    <w:rsid w:val="00B75A20"/>
    <w:rsid w:val="00B765B9"/>
    <w:rsid w:val="00B93748"/>
    <w:rsid w:val="00B939FD"/>
    <w:rsid w:val="00BA1C8A"/>
    <w:rsid w:val="00BA5663"/>
    <w:rsid w:val="00BA65F8"/>
    <w:rsid w:val="00BA6C4A"/>
    <w:rsid w:val="00BB5FCA"/>
    <w:rsid w:val="00BB7331"/>
    <w:rsid w:val="00BC02CD"/>
    <w:rsid w:val="00BC094B"/>
    <w:rsid w:val="00BE2BB3"/>
    <w:rsid w:val="00BE357B"/>
    <w:rsid w:val="00BE40A5"/>
    <w:rsid w:val="00BE40CC"/>
    <w:rsid w:val="00BE521B"/>
    <w:rsid w:val="00BF17C5"/>
    <w:rsid w:val="00C01B67"/>
    <w:rsid w:val="00C10657"/>
    <w:rsid w:val="00C14E9B"/>
    <w:rsid w:val="00C265E3"/>
    <w:rsid w:val="00C369A6"/>
    <w:rsid w:val="00C4037A"/>
    <w:rsid w:val="00C42455"/>
    <w:rsid w:val="00C57DB3"/>
    <w:rsid w:val="00C6054E"/>
    <w:rsid w:val="00C63B79"/>
    <w:rsid w:val="00C63D49"/>
    <w:rsid w:val="00C6698F"/>
    <w:rsid w:val="00C70F7E"/>
    <w:rsid w:val="00C7372B"/>
    <w:rsid w:val="00C85020"/>
    <w:rsid w:val="00C90C78"/>
    <w:rsid w:val="00C91C4A"/>
    <w:rsid w:val="00C956AC"/>
    <w:rsid w:val="00CA1729"/>
    <w:rsid w:val="00CA3B2B"/>
    <w:rsid w:val="00CA56DA"/>
    <w:rsid w:val="00CB141D"/>
    <w:rsid w:val="00CB747C"/>
    <w:rsid w:val="00CB7DDC"/>
    <w:rsid w:val="00CD2095"/>
    <w:rsid w:val="00CD4955"/>
    <w:rsid w:val="00CD57CC"/>
    <w:rsid w:val="00CE0434"/>
    <w:rsid w:val="00CE3830"/>
    <w:rsid w:val="00CE68F9"/>
    <w:rsid w:val="00CE75B3"/>
    <w:rsid w:val="00CF3275"/>
    <w:rsid w:val="00CF69E6"/>
    <w:rsid w:val="00CF72EE"/>
    <w:rsid w:val="00D07878"/>
    <w:rsid w:val="00D1232C"/>
    <w:rsid w:val="00D12B83"/>
    <w:rsid w:val="00D12C1C"/>
    <w:rsid w:val="00D172ED"/>
    <w:rsid w:val="00D32A18"/>
    <w:rsid w:val="00D333AD"/>
    <w:rsid w:val="00D35EEC"/>
    <w:rsid w:val="00D3719D"/>
    <w:rsid w:val="00D37C26"/>
    <w:rsid w:val="00D37CDE"/>
    <w:rsid w:val="00D42F3E"/>
    <w:rsid w:val="00D4486C"/>
    <w:rsid w:val="00D468EF"/>
    <w:rsid w:val="00D54D99"/>
    <w:rsid w:val="00D61704"/>
    <w:rsid w:val="00D65BAB"/>
    <w:rsid w:val="00D6649E"/>
    <w:rsid w:val="00D70BDA"/>
    <w:rsid w:val="00D70EC9"/>
    <w:rsid w:val="00D74AE3"/>
    <w:rsid w:val="00D77003"/>
    <w:rsid w:val="00D85ED0"/>
    <w:rsid w:val="00D86039"/>
    <w:rsid w:val="00D8797D"/>
    <w:rsid w:val="00D91B3C"/>
    <w:rsid w:val="00D94FCD"/>
    <w:rsid w:val="00DA1565"/>
    <w:rsid w:val="00DA3EBE"/>
    <w:rsid w:val="00DA4D4C"/>
    <w:rsid w:val="00DA6856"/>
    <w:rsid w:val="00DA6989"/>
    <w:rsid w:val="00DA7C88"/>
    <w:rsid w:val="00DB3EFA"/>
    <w:rsid w:val="00DB49C4"/>
    <w:rsid w:val="00DC3C8E"/>
    <w:rsid w:val="00DC6737"/>
    <w:rsid w:val="00DE1652"/>
    <w:rsid w:val="00DE3999"/>
    <w:rsid w:val="00DE4DE8"/>
    <w:rsid w:val="00DE69C6"/>
    <w:rsid w:val="00DE7E35"/>
    <w:rsid w:val="00DF7BE5"/>
    <w:rsid w:val="00E05CF9"/>
    <w:rsid w:val="00E06752"/>
    <w:rsid w:val="00E122CE"/>
    <w:rsid w:val="00E179A0"/>
    <w:rsid w:val="00E25FA8"/>
    <w:rsid w:val="00E37BAC"/>
    <w:rsid w:val="00E424A8"/>
    <w:rsid w:val="00E46802"/>
    <w:rsid w:val="00E51FA8"/>
    <w:rsid w:val="00E62F0C"/>
    <w:rsid w:val="00E66CD0"/>
    <w:rsid w:val="00E730D6"/>
    <w:rsid w:val="00E7530D"/>
    <w:rsid w:val="00E77AFD"/>
    <w:rsid w:val="00E858CF"/>
    <w:rsid w:val="00E87791"/>
    <w:rsid w:val="00E9470C"/>
    <w:rsid w:val="00E952DC"/>
    <w:rsid w:val="00EA08A1"/>
    <w:rsid w:val="00EA09E1"/>
    <w:rsid w:val="00EA0A02"/>
    <w:rsid w:val="00EA0C59"/>
    <w:rsid w:val="00EA2C97"/>
    <w:rsid w:val="00EA423D"/>
    <w:rsid w:val="00EA4FA4"/>
    <w:rsid w:val="00EA6970"/>
    <w:rsid w:val="00EB31DC"/>
    <w:rsid w:val="00EB63AC"/>
    <w:rsid w:val="00EC4E23"/>
    <w:rsid w:val="00ED5104"/>
    <w:rsid w:val="00EE0AAC"/>
    <w:rsid w:val="00EE121C"/>
    <w:rsid w:val="00EE7CF6"/>
    <w:rsid w:val="00EF1EF7"/>
    <w:rsid w:val="00F0139D"/>
    <w:rsid w:val="00F14819"/>
    <w:rsid w:val="00F16F6D"/>
    <w:rsid w:val="00F1709C"/>
    <w:rsid w:val="00F2074F"/>
    <w:rsid w:val="00F2796D"/>
    <w:rsid w:val="00F345A5"/>
    <w:rsid w:val="00F37263"/>
    <w:rsid w:val="00F43BB6"/>
    <w:rsid w:val="00F52F38"/>
    <w:rsid w:val="00F60AAD"/>
    <w:rsid w:val="00F61406"/>
    <w:rsid w:val="00F618BF"/>
    <w:rsid w:val="00F66755"/>
    <w:rsid w:val="00F81DF5"/>
    <w:rsid w:val="00F948AC"/>
    <w:rsid w:val="00F94C8B"/>
    <w:rsid w:val="00F96C90"/>
    <w:rsid w:val="00FA358C"/>
    <w:rsid w:val="00FA4E95"/>
    <w:rsid w:val="00FA5CA5"/>
    <w:rsid w:val="00FA62BE"/>
    <w:rsid w:val="00FA7E8B"/>
    <w:rsid w:val="00FB0C8E"/>
    <w:rsid w:val="00FB28BE"/>
    <w:rsid w:val="00FB2F10"/>
    <w:rsid w:val="00FB417A"/>
    <w:rsid w:val="00FB64BD"/>
    <w:rsid w:val="00FB6BE5"/>
    <w:rsid w:val="00FC7069"/>
    <w:rsid w:val="00FD1B3A"/>
    <w:rsid w:val="00FD63B1"/>
    <w:rsid w:val="00FE4753"/>
    <w:rsid w:val="00FE5A3D"/>
    <w:rsid w:val="0686783F"/>
    <w:rsid w:val="0D9C0F6A"/>
    <w:rsid w:val="13260294"/>
    <w:rsid w:val="189D29E6"/>
    <w:rsid w:val="1B1642BB"/>
    <w:rsid w:val="2E7D46D6"/>
    <w:rsid w:val="3C0F3BE4"/>
    <w:rsid w:val="45635572"/>
    <w:rsid w:val="45FE3852"/>
    <w:rsid w:val="48B139CE"/>
    <w:rsid w:val="4A7B35F6"/>
    <w:rsid w:val="4CDB3061"/>
    <w:rsid w:val="53FB32E7"/>
    <w:rsid w:val="5CC67699"/>
    <w:rsid w:val="65945970"/>
    <w:rsid w:val="6A2A37C0"/>
    <w:rsid w:val="6AA00712"/>
    <w:rsid w:val="6B251280"/>
    <w:rsid w:val="7590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11">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Document Map"/>
    <w:basedOn w:val="1"/>
    <w:link w:val="26"/>
    <w:semiHidden/>
    <w:unhideWhenUsed/>
    <w:qFormat/>
    <w:uiPriority w:val="99"/>
    <w:rPr>
      <w:rFonts w:ascii="宋体" w:eastAsia="宋体"/>
      <w:sz w:val="18"/>
      <w:szCs w:val="18"/>
    </w:rPr>
  </w:style>
  <w:style w:type="paragraph" w:styleId="5">
    <w:name w:val="Body Text Indent"/>
    <w:basedOn w:val="1"/>
    <w:qFormat/>
    <w:uiPriority w:val="0"/>
    <w:pPr>
      <w:spacing w:after="120"/>
      <w:ind w:left="420" w:leftChars="200"/>
    </w:pPr>
  </w:style>
  <w:style w:type="paragraph" w:styleId="6">
    <w:name w:val="Balloon Text"/>
    <w:basedOn w:val="1"/>
    <w:link w:val="28"/>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Body Text First Indent 2"/>
    <w:basedOn w:val="5"/>
    <w:unhideWhenUsed/>
    <w:qFormat/>
    <w:uiPriority w:val="0"/>
    <w:pPr>
      <w:ind w:firstLine="420" w:firstLineChars="200"/>
    </w:pPr>
    <w:rPr>
      <w:rFonts w:asciiTheme="minorHAnsi" w:hAnsiTheme="minorHAnsi" w:eastAsiaTheme="minorEastAsia" w:cstheme="minorBidi"/>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11"/>
    <w:link w:val="9"/>
    <w:semiHidden/>
    <w:qFormat/>
    <w:uiPriority w:val="99"/>
    <w:rPr>
      <w:sz w:val="18"/>
      <w:szCs w:val="18"/>
    </w:rPr>
  </w:style>
  <w:style w:type="character" w:customStyle="1" w:styleId="18">
    <w:name w:val="页脚 Char"/>
    <w:basedOn w:val="11"/>
    <w:link w:val="7"/>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样式 样式 正文文本缩进 2 + 小四 加粗 首行缩进:  0.85 厘米 行距: 固定值 25 磅 + 首行缩进:  2 字符1"/>
    <w:basedOn w:val="1"/>
    <w:qFormat/>
    <w:uiPriority w:val="0"/>
    <w:pPr>
      <w:spacing w:line="500" w:lineRule="exact"/>
      <w:ind w:firstLine="200" w:firstLineChars="200"/>
    </w:pPr>
    <w:rPr>
      <w:rFonts w:ascii="Times New Roman" w:hAnsi="Times New Roman" w:eastAsia="宋体" w:cs="宋体"/>
      <w:sz w:val="24"/>
      <w:szCs w:val="20"/>
    </w:rPr>
  </w:style>
  <w:style w:type="character" w:customStyle="1" w:styleId="21">
    <w:name w:val="标题 1 Char"/>
    <w:basedOn w:val="11"/>
    <w:link w:val="3"/>
    <w:qFormat/>
    <w:uiPriority w:val="0"/>
    <w:rPr>
      <w:rFonts w:ascii="Times New Roman" w:hAnsi="Times New Roman" w:eastAsia="宋体" w:cs="Times New Roman"/>
      <w:b/>
      <w:kern w:val="44"/>
      <w:sz w:val="44"/>
      <w:szCs w:val="20"/>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4">
    <w:name w:val="bjh-p"/>
    <w:basedOn w:val="11"/>
    <w:qFormat/>
    <w:uiPriority w:val="0"/>
  </w:style>
  <w:style w:type="character" w:customStyle="1" w:styleId="25">
    <w:name w:val="bjh-strong"/>
    <w:basedOn w:val="11"/>
    <w:qFormat/>
    <w:uiPriority w:val="0"/>
  </w:style>
  <w:style w:type="character" w:customStyle="1" w:styleId="26">
    <w:name w:val="文档结构图 Char"/>
    <w:basedOn w:val="11"/>
    <w:link w:val="4"/>
    <w:semiHidden/>
    <w:qFormat/>
    <w:uiPriority w:val="99"/>
    <w:rPr>
      <w:rFonts w:ascii="宋体" w:eastAsia="宋体"/>
      <w:sz w:val="18"/>
      <w:szCs w:val="18"/>
    </w:rPr>
  </w:style>
  <w:style w:type="character" w:customStyle="1" w:styleId="27">
    <w:name w:val="NormalCharacter"/>
    <w:semiHidden/>
    <w:qFormat/>
    <w:uiPriority w:val="0"/>
  </w:style>
  <w:style w:type="character" w:customStyle="1" w:styleId="28">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12356-F8FE-4B35-99C6-59E742660BD3}">
  <ds:schemaRefs/>
</ds:datastoreItem>
</file>

<file path=docProps/app.xml><?xml version="1.0" encoding="utf-8"?>
<Properties xmlns="http://schemas.openxmlformats.org/officeDocument/2006/extended-properties" xmlns:vt="http://schemas.openxmlformats.org/officeDocument/2006/docPropsVTypes">
  <Template>Normal</Template>
  <Pages>28</Pages>
  <Words>2110</Words>
  <Characters>12027</Characters>
  <Lines>100</Lines>
  <Paragraphs>28</Paragraphs>
  <TotalTime>48</TotalTime>
  <ScaleCrop>false</ScaleCrop>
  <LinksUpToDate>false</LinksUpToDate>
  <CharactersWithSpaces>14109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2020-11-04T13:12:00Z</dcterms:created>
  <dc:creator>ASUS</dc:creator>
  <cp:lastModifiedBy>Administrator</cp:lastModifiedBy>
  <dcterms:modified xsi:type="dcterms:W3CDTF">2023-03-07T01:32:04Z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21BC0C238BBC48328BADB50D876DA29C</vt:lpwstr>
  </property>
</Properties>
</file>