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  <w:lang w:eastAsia="zh-CN"/>
        </w:rPr>
        <w:t>渣土管理所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宋体" w:hAnsi="宋体" w:cs="仿宋_GB2312"/>
          <w:color w:val="000000"/>
          <w:sz w:val="32"/>
          <w:szCs w:val="32"/>
        </w:rPr>
        <w:t>负责对县城规划区内施工渣土的处置、运输、消纳进行管理；受理县城规划区内建筑和渣土处置工程单位或个人申报办理手续，运输进行监察执法；负责对渣土消纳场进行管理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宋体" w:hAnsi="宋体" w:cs="仿宋_GB2312"/>
          <w:color w:val="000000"/>
          <w:sz w:val="32"/>
          <w:szCs w:val="32"/>
        </w:rPr>
        <w:t>负责对县城规划区内运输渣土、砂、碎石的车辆进行管理，负责对县城规划区内施工渣土的处置运输证件的办理。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个，所属事业单位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Arial" w:hAnsi="Arial" w:eastAsia="楷体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所属事业单位分别是：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2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退休人员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251.29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201.39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49.90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201.39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49.90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211.06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10.00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201.06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10.00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项目业务管理</w:t>
      </w:r>
      <w:r>
        <w:rPr>
          <w:rFonts w:ascii="仿宋" w:hAnsi="仿宋" w:eastAsia="仿宋" w:cs="仿宋"/>
          <w:color w:val="0C0C0C"/>
          <w:sz w:val="32"/>
          <w:szCs w:val="32"/>
        </w:rPr>
        <w:t>等方面。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201.06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项目建设和项目维护</w:t>
      </w:r>
      <w:r>
        <w:rPr>
          <w:rFonts w:ascii="仿宋" w:hAnsi="仿宋" w:eastAsia="仿宋" w:cs="仿宋"/>
          <w:color w:val="0C0C0C"/>
          <w:sz w:val="32"/>
          <w:szCs w:val="32"/>
        </w:rPr>
        <w:t>等方面。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分，部门整体支出绩效为“良”。主要绩效如下：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对县建筑消纳场道路扩建，为县城渣土消纳增加了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近一倍的效益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仿宋" w:hAnsi="仿宋" w:eastAsia="仿宋"/>
          <w:color w:val="010101"/>
          <w:sz w:val="32"/>
          <w:szCs w:val="32"/>
        </w:rPr>
        <w:t>圆满完成了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县城</w:t>
      </w:r>
      <w:r>
        <w:rPr>
          <w:rFonts w:hint="eastAsia" w:ascii="仿宋" w:hAnsi="仿宋" w:eastAsia="仿宋"/>
          <w:color w:val="010101"/>
          <w:sz w:val="32"/>
          <w:szCs w:val="32"/>
        </w:rPr>
        <w:t>渣土处置费的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收缴</w:t>
      </w:r>
      <w:r>
        <w:rPr>
          <w:rFonts w:hint="eastAsia" w:ascii="仿宋" w:hAnsi="仿宋" w:eastAsia="仿宋"/>
          <w:color w:val="010101"/>
          <w:sz w:val="32"/>
          <w:szCs w:val="32"/>
        </w:rPr>
        <w:t>任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成绩三。</w:t>
      </w:r>
      <w:r>
        <w:rPr>
          <w:rFonts w:hint="eastAsia" w:ascii="仿宋" w:hAnsi="仿宋" w:eastAsia="仿宋"/>
          <w:color w:val="010101"/>
          <w:sz w:val="32"/>
          <w:szCs w:val="32"/>
        </w:rPr>
        <w:t>每天执法人员对县城区域内渣土、建筑垃圾及污染的扬尘进行治理和管理。使县城区域内的环境得到了有效的改善，受到群众广泛的好评和认可。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autoSpaceDN w:val="0"/>
        <w:ind w:firstLine="640"/>
        <w:outlineLvl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/>
          <w:color w:val="010101"/>
          <w:sz w:val="32"/>
          <w:szCs w:val="32"/>
        </w:rPr>
        <w:t>资产核算</w:t>
      </w:r>
      <w:r>
        <w:rPr>
          <w:rFonts w:hint="eastAsia" w:ascii="仿宋" w:hAnsi="仿宋" w:eastAsia="仿宋"/>
          <w:color w:val="010101"/>
          <w:sz w:val="32"/>
          <w:szCs w:val="32"/>
        </w:rPr>
        <w:t>：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本单位资产规模较少，没有自己的办公用房，存在重货币资金，轻资产的思想，固定资产折旧没有按规定及时计提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。</w:t>
      </w:r>
    </w:p>
    <w:p>
      <w:pPr>
        <w:autoSpaceDN w:val="0"/>
        <w:ind w:firstLine="630"/>
        <w:outlineLvl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（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二</w:t>
      </w:r>
      <w:r>
        <w:rPr>
          <w:rFonts w:ascii="仿宋" w:hAnsi="仿宋" w:eastAsia="仿宋"/>
          <w:color w:val="010101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问题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二。</w:t>
      </w:r>
      <w:r>
        <w:rPr>
          <w:rFonts w:ascii="仿宋" w:hAnsi="仿宋" w:eastAsia="仿宋"/>
          <w:color w:val="010101"/>
          <w:sz w:val="32"/>
          <w:szCs w:val="32"/>
        </w:rPr>
        <w:t xml:space="preserve">内部管理 </w:t>
      </w:r>
      <w:r>
        <w:rPr>
          <w:rFonts w:hint="eastAsia" w:ascii="仿宋" w:hAnsi="仿宋" w:eastAsia="仿宋"/>
          <w:color w:val="010101"/>
          <w:sz w:val="32"/>
          <w:szCs w:val="32"/>
        </w:rPr>
        <w:t>：本单位依据内部控制有关规定，制订了完整的内部控制制度，在执行中存在差异，如不相容岗位相分离存在缺陷，定期轮岗作得不够。</w:t>
      </w:r>
    </w:p>
    <w:p>
      <w:pPr>
        <w:autoSpaceDN w:val="0"/>
        <w:ind w:firstLine="640" w:firstLineChars="200"/>
        <w:outlineLvl w:val="0"/>
        <w:rPr>
          <w:rFonts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（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三</w:t>
      </w:r>
      <w:r>
        <w:rPr>
          <w:rFonts w:ascii="仿宋" w:hAnsi="仿宋" w:eastAsia="仿宋"/>
          <w:color w:val="010101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问题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三。</w:t>
      </w:r>
      <w:r>
        <w:rPr>
          <w:rFonts w:ascii="仿宋" w:hAnsi="仿宋" w:eastAsia="仿宋"/>
          <w:color w:val="010101"/>
          <w:sz w:val="32"/>
          <w:szCs w:val="32"/>
        </w:rPr>
        <w:t>经费保障</w:t>
      </w:r>
      <w:r>
        <w:rPr>
          <w:rFonts w:hint="eastAsia" w:ascii="仿宋" w:hAnsi="仿宋" w:eastAsia="仿宋"/>
          <w:color w:val="010101"/>
          <w:sz w:val="32"/>
          <w:szCs w:val="32"/>
        </w:rPr>
        <w:t>：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由于单位经费支出年初预算偏紧，本单位的收入基本上为财政拨款收入，一些项目经费保障不足。</w:t>
      </w:r>
    </w:p>
    <w:p>
      <w:pPr>
        <w:autoSpaceDN w:val="0"/>
        <w:outlineLvl w:val="0"/>
        <w:rPr>
          <w:rFonts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　　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八</w:t>
      </w:r>
      <w:r>
        <w:rPr>
          <w:rFonts w:ascii="仿宋" w:hAnsi="仿宋" w:eastAsia="仿宋"/>
          <w:color w:val="010101"/>
          <w:sz w:val="32"/>
          <w:szCs w:val="32"/>
        </w:rPr>
        <w:t xml:space="preserve">、改进措施和有关建议 </w:t>
      </w:r>
    </w:p>
    <w:p>
      <w:pPr>
        <w:autoSpaceDN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　（一）</w:t>
      </w:r>
      <w:r>
        <w:rPr>
          <w:rFonts w:hint="eastAsia" w:ascii="仿宋" w:hAnsi="仿宋" w:eastAsia="仿宋"/>
          <w:color w:val="010101"/>
          <w:sz w:val="32"/>
          <w:szCs w:val="32"/>
        </w:rPr>
        <w:t>建议一：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进一步加强预算管理，编制预算时充分考虑年度各种因素，使预算管理更系统，更全面。</w:t>
      </w:r>
    </w:p>
    <w:p>
      <w:pPr>
        <w:autoSpaceDN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</w:t>
      </w:r>
      <w:r>
        <w:rPr>
          <w:rFonts w:hint="eastAsia" w:ascii="仿宋" w:hAnsi="仿宋" w:eastAsia="仿宋"/>
          <w:color w:val="010101"/>
          <w:sz w:val="32"/>
          <w:szCs w:val="32"/>
        </w:rPr>
        <w:t xml:space="preserve">  </w:t>
      </w:r>
      <w:r>
        <w:rPr>
          <w:rFonts w:ascii="仿宋" w:hAnsi="仿宋" w:eastAsia="仿宋"/>
          <w:color w:val="010101"/>
          <w:sz w:val="32"/>
          <w:szCs w:val="32"/>
        </w:rPr>
        <w:t>（二）</w:t>
      </w:r>
      <w:r>
        <w:rPr>
          <w:rFonts w:hint="eastAsia" w:ascii="仿宋" w:hAnsi="仿宋" w:eastAsia="仿宋"/>
          <w:color w:val="010101"/>
          <w:sz w:val="32"/>
          <w:szCs w:val="32"/>
        </w:rPr>
        <w:t>建议二：加强资产管理，严格各各种领购手续，定期核对资产卡片，并进行每年一次的清产核资工作，作到账实、账账、账卡相符。</w:t>
      </w:r>
    </w:p>
    <w:p>
      <w:pPr>
        <w:autoSpaceDN w:val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　（三）</w:t>
      </w:r>
      <w:r>
        <w:rPr>
          <w:rFonts w:hint="eastAsia" w:ascii="仿宋" w:hAnsi="仿宋" w:eastAsia="仿宋"/>
          <w:color w:val="010101"/>
          <w:sz w:val="32"/>
          <w:szCs w:val="32"/>
        </w:rPr>
        <w:t>建议三：</w:t>
      </w:r>
      <w:r>
        <w:rPr>
          <w:rFonts w:hint="eastAsia" w:ascii="仿宋" w:hAnsi="仿宋" w:eastAsia="仿宋" w:cs="仿宋"/>
          <w:sz w:val="32"/>
          <w:szCs w:val="32"/>
        </w:rPr>
        <w:t>规范内控机制建设，形成有效的自我约束对单位履职过程中的各项业务进行梳理，通过组织结构图和业务流程图来明确关键控制岗位，确保不相容岗位相互分离，并实现岗位之间的制约和监督。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4"/>
        <w:tblW w:w="100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950%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7.75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3.29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7.75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7.75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3.29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47.15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211.06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42.15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201.06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27.43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18.00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49.90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3.32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10.47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3.74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5.52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0.59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0.64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192.81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202.75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251.29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本单位加强内部控制，对公用经费实行定额管理，提高了资金的使用效果。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宋体" w:hAnsi="宋体" w:cs="宋体"/>
          <w:color w:val="000000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4"/>
        <w:tblW w:w="104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411"/>
        <w:gridCol w:w="1455"/>
        <w:gridCol w:w="1509"/>
        <w:gridCol w:w="825"/>
        <w:gridCol w:w="1455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绥宁县渣土管理所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155.14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462.24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462.35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99.99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462.35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251.29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211.06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1、按规定县城渣土和碎石的及时消纳；2、改造扩建消纳场道路；3、收取渣土处置费30万元。</w:t>
            </w:r>
          </w:p>
        </w:tc>
        <w:tc>
          <w:tcPr>
            <w:tcW w:w="4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1、及时完成了县城渣土和碎石的消纳；2、改造扩建消纳场道路5000平方米；3、收取了35万元渣土处置费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消纳场道路改造和扩建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4500平方米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5000平方米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按规定收取渣土处置费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30万元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35万元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渣土处置对环境无污染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优良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优良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及时完成县城渣土处置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全面及时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全面及时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工程项目严格控制成本支出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严格执行预算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严格执行预算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消纳场道路改造费用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191.11万元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191.11万元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保证县城渣土无害处置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搞好消纳场周围环境的绿化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绿化率达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75%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65%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消纳场内渣土硬化，不造成流失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基建单位渣土处置对象满意度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9D4A05"/>
    <w:multiLevelType w:val="singleLevel"/>
    <w:tmpl w:val="D99D4A05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FEF"/>
    <w:rsid w:val="00212565"/>
    <w:rsid w:val="0073341A"/>
    <w:rsid w:val="008D5CE1"/>
    <w:rsid w:val="00A34FEF"/>
    <w:rsid w:val="00AD6A00"/>
    <w:rsid w:val="00EA3FF1"/>
    <w:rsid w:val="00F8057A"/>
    <w:rsid w:val="08F0757A"/>
    <w:rsid w:val="0CC01880"/>
    <w:rsid w:val="0D7704EC"/>
    <w:rsid w:val="0E7B3A93"/>
    <w:rsid w:val="15191553"/>
    <w:rsid w:val="199C3654"/>
    <w:rsid w:val="2100740A"/>
    <w:rsid w:val="28203251"/>
    <w:rsid w:val="2AD069F9"/>
    <w:rsid w:val="2D93629D"/>
    <w:rsid w:val="309A4CCA"/>
    <w:rsid w:val="31AD5BFC"/>
    <w:rsid w:val="380829CB"/>
    <w:rsid w:val="380B1929"/>
    <w:rsid w:val="39EF275B"/>
    <w:rsid w:val="3EC929FF"/>
    <w:rsid w:val="4065011F"/>
    <w:rsid w:val="42D7112B"/>
    <w:rsid w:val="484F6A19"/>
    <w:rsid w:val="49A4695C"/>
    <w:rsid w:val="54AE0465"/>
    <w:rsid w:val="563A5EF7"/>
    <w:rsid w:val="57993B82"/>
    <w:rsid w:val="57AC3EE4"/>
    <w:rsid w:val="5C5E6355"/>
    <w:rsid w:val="60835A51"/>
    <w:rsid w:val="6B8E6FC8"/>
    <w:rsid w:val="6CDD6AFC"/>
    <w:rsid w:val="6F9C72BB"/>
    <w:rsid w:val="73A62F83"/>
    <w:rsid w:val="785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</Words>
  <Characters>2002</Characters>
  <Lines>16</Lines>
  <Paragraphs>4</Paragraphs>
  <TotalTime>40</TotalTime>
  <ScaleCrop>false</ScaleCrop>
  <LinksUpToDate>false</LinksUpToDate>
  <CharactersWithSpaces>2349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Administrator</cp:lastModifiedBy>
  <dcterms:modified xsi:type="dcterms:W3CDTF">2023-09-06T03:41:16Z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