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Autospacing="0" w:afterAutospacing="0" w:line="480" w:lineRule="atLeast"/>
        <w:jc w:val="both"/>
        <w:rPr>
          <w:rFonts w:ascii="黑体" w:hAnsi="黑体" w:eastAsia="黑体" w:cs="黑体"/>
          <w:color w:val="000000"/>
          <w:sz w:val="32"/>
          <w:szCs w:val="32"/>
        </w:rPr>
      </w:pPr>
    </w:p>
    <w:p>
      <w:pPr>
        <w:pStyle w:val="6"/>
        <w:widowControl/>
        <w:shd w:val="clear" w:color="auto" w:fill="FFFFFF"/>
        <w:spacing w:beforeAutospacing="0" w:afterAutospacing="0" w:line="480" w:lineRule="atLeast"/>
        <w:jc w:val="center"/>
        <w:rPr>
          <w:rFonts w:ascii="楷体" w:hAnsi="楷体" w:eastAsia="楷体" w:cs="楷体"/>
          <w:b/>
          <w:color w:val="000000"/>
          <w:sz w:val="32"/>
          <w:szCs w:val="32"/>
          <w:shd w:val="clear" w:color="auto" w:fill="FFFFFF"/>
        </w:rPr>
      </w:pPr>
      <w:r>
        <w:rPr>
          <w:rFonts w:hint="eastAsia" w:ascii="黑体" w:hAnsi="黑体" w:eastAsia="黑体" w:cs="楷体"/>
          <w:b/>
          <w:color w:val="000000"/>
          <w:sz w:val="32"/>
          <w:szCs w:val="32"/>
          <w:shd w:val="clear" w:color="auto" w:fill="FFFFFF"/>
        </w:rPr>
        <w:t>绥宁县</w:t>
      </w:r>
      <w:r>
        <w:rPr>
          <w:rFonts w:hint="eastAsia" w:ascii="黑体" w:hAnsi="黑体" w:eastAsia="黑体" w:cs="楷体"/>
          <w:b/>
          <w:color w:val="000000"/>
          <w:sz w:val="32"/>
          <w:szCs w:val="32"/>
          <w:shd w:val="clear" w:color="auto" w:fill="FFFFFF"/>
          <w:lang w:eastAsia="zh-CN"/>
        </w:rPr>
        <w:t>发改局</w:t>
      </w:r>
      <w:r>
        <w:rPr>
          <w:rFonts w:hint="eastAsia" w:ascii="黑体" w:hAnsi="黑体" w:eastAsia="黑体" w:cs="黑体"/>
          <w:b/>
          <w:color w:val="000000"/>
          <w:sz w:val="32"/>
          <w:szCs w:val="32"/>
          <w:shd w:val="clear" w:color="auto" w:fill="FFFFFF"/>
        </w:rPr>
        <w:t>2022年度部门整体支出绩效自评报告</w:t>
      </w:r>
    </w:p>
    <w:p>
      <w:pPr>
        <w:widowControl/>
        <w:ind w:firstLine="640" w:firstLineChars="200"/>
        <w:rPr>
          <w:rFonts w:hint="eastAsia" w:ascii="仿宋" w:hAnsi="仿宋" w:eastAsia="仿宋" w:cs="仿宋"/>
          <w:color w:val="000000"/>
          <w:kern w:val="0"/>
          <w:sz w:val="32"/>
          <w:szCs w:val="32"/>
        </w:rPr>
      </w:pP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kern w:val="0"/>
          <w:sz w:val="32"/>
          <w:szCs w:val="32"/>
        </w:rPr>
        <w:t>为进一步规范和加强预算资金管理，提高财政资金使用绩效，根据县财政局《关于开展2022年度财政支出绩效自评工作的通知》（绥财绩〔2023〕1号）相关要求，我部门对部门整体支出情况实施了绩效自评，现将自评情况报告如下：</w:t>
      </w:r>
    </w:p>
    <w:p>
      <w:pPr>
        <w:pStyle w:val="6"/>
        <w:widowControl/>
        <w:shd w:val="clear" w:color="auto" w:fill="FFFFFF"/>
        <w:spacing w:beforeAutospacing="0" w:afterAutospacing="0" w:line="480" w:lineRule="atLeast"/>
        <w:ind w:left="640"/>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一、部门基本情况</w:t>
      </w:r>
    </w:p>
    <w:p>
      <w:pPr>
        <w:pStyle w:val="6"/>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（一）部门职能职责</w:t>
      </w:r>
    </w:p>
    <w:p>
      <w:pPr>
        <w:autoSpaceDN w:val="0"/>
        <w:spacing w:line="600"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拟订并组织实施全县国民经济和社会发展战略、中长期规划和年度计划，统筹协调相关总体规划、区域规划；提出全县国民经济发展、价格总水平调控和优化重大经济结构的目标、政策，提出综合运用各种经济手段和政策的建议，受县人民政府委托向县人民代表大会提交国民经济和社会发展计划的报告。</w:t>
      </w:r>
    </w:p>
    <w:p>
      <w:pPr>
        <w:autoSpaceDN w:val="0"/>
        <w:spacing w:line="600"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研究全县宏观经济运行、总量平衡、经济安全和总体产业安全等重要问题并提出宏观调控政策建议，协调解决经济运行中的重大问题，调节国民经济运行。</w:t>
      </w:r>
    </w:p>
    <w:p>
      <w:pPr>
        <w:autoSpaceDN w:val="0"/>
        <w:spacing w:line="600"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汇总社会资金总体运行情况，参与制定财政、金融、土地政策并综合分析政策执行效果；会同有关部门完善宏观调控协调机制，统筹推进产业、创业等投资基金的发展和制度建设。</w:t>
      </w:r>
    </w:p>
    <w:p>
      <w:pPr>
        <w:spacing w:line="600"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指导推进和综合协调全县经济体制改革，研究全县经济体制改革和对外开</w:t>
      </w:r>
      <w:r>
        <w:rPr>
          <w:rFonts w:hint="eastAsia" w:ascii="仿宋" w:hAnsi="仿宋" w:eastAsia="仿宋" w:cs="仿宋"/>
          <w:color w:val="000000"/>
          <w:spacing w:val="-9"/>
          <w:sz w:val="32"/>
          <w:szCs w:val="32"/>
        </w:rPr>
        <w:t>放重大问题；组织拟订综合性经济体制改革方案，协调有关专项改革方案，会同有关部门搞好专项改革之间的衔接；指导经济体制改革试点和改革试验区工作，参与协调推进“两型社会”建设综合配套</w:t>
      </w:r>
      <w:r>
        <w:rPr>
          <w:rFonts w:hint="eastAsia" w:ascii="仿宋" w:hAnsi="仿宋" w:eastAsia="仿宋" w:cs="仿宋"/>
          <w:color w:val="000000"/>
          <w:sz w:val="32"/>
          <w:szCs w:val="32"/>
        </w:rPr>
        <w:t>改革试验区工作。</w:t>
      </w:r>
    </w:p>
    <w:p>
      <w:pPr>
        <w:spacing w:line="600"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拟订全县社会固定资产投资总规模和投资结构的调控目标、政策及措施：统筹安排</w:t>
      </w:r>
      <w:r>
        <w:rPr>
          <w:rFonts w:hint="eastAsia" w:ascii="仿宋" w:hAnsi="仿宋" w:eastAsia="仿宋" w:cs="仿宋"/>
          <w:color w:val="000000"/>
          <w:spacing w:val="-6"/>
          <w:sz w:val="32"/>
          <w:szCs w:val="32"/>
        </w:rPr>
        <w:t>县级财政性建设资金和投资项目，编制下达政府投资年度计划；规划全县重大建设项目和生产力布局，按规定权限审批、核准、审核、备案跨县区、跨行业、跨领域和涉及综合平</w:t>
      </w:r>
      <w:r>
        <w:rPr>
          <w:rFonts w:hint="eastAsia" w:ascii="仿宋" w:hAnsi="仿宋" w:eastAsia="仿宋" w:cs="仿宋"/>
          <w:color w:val="000000"/>
          <w:sz w:val="32"/>
          <w:szCs w:val="32"/>
        </w:rPr>
        <w:t>衡、重大布局的重大建设项目、外资项目；研究提出全县利用外资和境外投资的战略、规划、总量平衡和结构优化的目标和政策；指导和监督国外贷款建设资金的使用，引导民间投资方向。</w:t>
      </w:r>
    </w:p>
    <w:p>
      <w:pPr>
        <w:spacing w:line="600"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组织拟订综合性产业政策，负责协调第一、二、三产业发展的重大问题并衔接平</w:t>
      </w:r>
      <w:r>
        <w:rPr>
          <w:rFonts w:hint="eastAsia" w:ascii="仿宋" w:hAnsi="仿宋" w:eastAsia="仿宋" w:cs="仿宋"/>
          <w:color w:val="000000"/>
          <w:spacing w:val="-3"/>
          <w:sz w:val="32"/>
          <w:szCs w:val="32"/>
        </w:rPr>
        <w:t>衡相关发展规划和重大政策，负责综合交通运输体系规划与国民经济和社会发展规划的衔接平衡；协调农业和农村经</w:t>
      </w:r>
      <w:r>
        <w:rPr>
          <w:rFonts w:hint="eastAsia" w:ascii="仿宋" w:hAnsi="仿宋" w:eastAsia="仿宋" w:cs="仿宋"/>
          <w:color w:val="000000"/>
          <w:sz w:val="32"/>
          <w:szCs w:val="32"/>
        </w:rPr>
        <w:t>济社会发展的重大问题。</w:t>
      </w:r>
    </w:p>
    <w:p>
      <w:pPr>
        <w:spacing w:line="600"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贯彻落实国家中部崛起比照西部开发、长江经济带开发建设和湘西地区开发的政策措施；落实国家、省扶贫攻坚规划；研究制定统筹促进老少边穷地区加快发展的战略、规划和重大政策，拟订并组织实施全县以工代赈规划和计划；参与研究拟订全县城镇化发展战略和重大政策措施；负责制定开发园区发展规划和政策。</w:t>
      </w:r>
    </w:p>
    <w:p>
      <w:pPr>
        <w:spacing w:line="600"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承担重要商品总量平衡和宏观调控，编制重要农产品、工业品和原材料进出口总量平衡计划并监督执行，根据经济运行情况对计划进行调整。</w:t>
      </w:r>
    </w:p>
    <w:p>
      <w:pPr>
        <w:autoSpaceDN w:val="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负责社会发展与国民经济发展的政策衔接；组织拟订社会发展战略、总体规划和年度计划；拟订人口发展战略、规划及人口政策；参与拟订科学技术、教育、文化、卫生、民政等发展政策：统筹推进基本公共服务体系建设和收入分配制度改革；研究提出促进就业、完善社会保障与经济协调发展的政策建议；协调社会事业发展和改革中的重大问题及政策。</w:t>
      </w:r>
    </w:p>
    <w:p>
      <w:pPr>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lang w:eastAsia="zh-CN"/>
        </w:rPr>
        <w:t>承办县委、县人民政府交办的其它事项。</w:t>
      </w:r>
    </w:p>
    <w:p>
      <w:pPr>
        <w:pStyle w:val="6"/>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（二）机构设置情况</w:t>
      </w:r>
    </w:p>
    <w:p>
      <w:pPr>
        <w:spacing w:line="600" w:lineRule="exact"/>
        <w:ind w:firstLine="640" w:firstLineChars="200"/>
        <w:jc w:val="both"/>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2022年末，我部门</w:t>
      </w:r>
      <w:r>
        <w:rPr>
          <w:rFonts w:hint="eastAsia" w:ascii="仿宋" w:hAnsi="仿宋" w:eastAsia="仿宋" w:cs="仿宋"/>
          <w:color w:val="000000"/>
          <w:sz w:val="32"/>
          <w:szCs w:val="32"/>
        </w:rPr>
        <w:t>内设股室13个，所属事业单位</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个，全部纳入绥宁县发展和改革局预算编制范围。</w:t>
      </w:r>
      <w:r>
        <w:rPr>
          <w:rFonts w:hint="eastAsia" w:ascii="仿宋" w:hAnsi="仿宋" w:eastAsia="仿宋" w:cs="仿宋"/>
          <w:color w:val="000000"/>
          <w:sz w:val="32"/>
          <w:szCs w:val="32"/>
          <w:lang w:val="en-US" w:eastAsia="zh-CN"/>
        </w:rPr>
        <w:t xml:space="preserve"> </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kern w:val="2"/>
          <w:sz w:val="32"/>
          <w:szCs w:val="32"/>
          <w:lang w:val="en-US" w:eastAsia="zh-CN" w:bidi="ar"/>
        </w:rPr>
        <w:t>2022年末，我部门内设股室13个，所属事业单位6个，副科级单位3个。</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内设机构分别是：人秘股、行政审批服务股、发展规划和国民经济综合股、招投标和法规股、固定资产投资股、社会发展股、湘西地区开发股、价格调控和管理股、粮食和物资储备股、工业和运行监测协调股、安全生产与民爆物品管理股、行业管理与信息股、科技股。</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所属事业单位分别是：绥宁县重点建设项目办公室、绥宁县农村能源服务站、绥宁县招标投标管理办公室、绥宁县价格认证中心、绥宁县科技情报研究所、粮食和物资储备事务中心。其中绥宁县重点建设项目办公室、绥宁县农村能源服务站、绥宁县招标投标管理办公室为副科级单位。</w:t>
      </w:r>
    </w:p>
    <w:p>
      <w:pPr>
        <w:pStyle w:val="3"/>
        <w:rPr>
          <w:rFonts w:hint="default"/>
          <w:lang w:val="en-US" w:eastAsia="zh-CN"/>
        </w:rPr>
      </w:pPr>
    </w:p>
    <w:p>
      <w:pPr>
        <w:pStyle w:val="6"/>
        <w:shd w:val="clear" w:color="auto" w:fill="FFFFFF"/>
        <w:spacing w:beforeAutospacing="0" w:afterAutospacing="0" w:line="480" w:lineRule="atLeast"/>
        <w:ind w:left="641"/>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（三）人员编制情况</w:t>
      </w:r>
    </w:p>
    <w:p>
      <w:pPr>
        <w:pStyle w:val="6"/>
        <w:shd w:val="clear" w:color="auto" w:fill="FFFFFF"/>
        <w:spacing w:beforeAutospacing="0" w:afterAutospacing="0" w:line="480" w:lineRule="atLeast"/>
        <w:ind w:firstLine="640" w:firstLineChars="200"/>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rPr>
        <w:t>2</w:t>
      </w:r>
      <w:r>
        <w:rPr>
          <w:rFonts w:ascii="仿宋" w:hAnsi="仿宋" w:eastAsia="仿宋" w:cs="仿宋"/>
          <w:color w:val="000000"/>
          <w:sz w:val="32"/>
          <w:szCs w:val="32"/>
          <w:shd w:val="clear" w:color="auto" w:fill="FFFFFF"/>
        </w:rPr>
        <w:t>年末，我</w:t>
      </w:r>
      <w:r>
        <w:rPr>
          <w:rFonts w:hint="eastAsia" w:ascii="仿宋" w:hAnsi="仿宋" w:eastAsia="仿宋" w:cs="仿宋"/>
          <w:color w:val="000000"/>
          <w:sz w:val="32"/>
          <w:szCs w:val="32"/>
          <w:shd w:val="clear" w:color="auto" w:fill="FFFFFF"/>
        </w:rPr>
        <w:t>部门</w:t>
      </w:r>
      <w:r>
        <w:rPr>
          <w:rFonts w:ascii="仿宋" w:hAnsi="仿宋" w:eastAsia="仿宋" w:cs="仿宋"/>
          <w:color w:val="000000"/>
          <w:sz w:val="32"/>
          <w:szCs w:val="32"/>
          <w:shd w:val="clear" w:color="auto" w:fill="FFFFFF"/>
        </w:rPr>
        <w:t>共有编制</w:t>
      </w:r>
      <w:r>
        <w:rPr>
          <w:rFonts w:hint="eastAsia" w:ascii="仿宋" w:hAnsi="仿宋" w:eastAsia="仿宋" w:cs="仿宋"/>
          <w:color w:val="000000"/>
          <w:sz w:val="32"/>
          <w:szCs w:val="32"/>
          <w:shd w:val="clear" w:color="auto" w:fill="FFFFFF"/>
          <w:lang w:val="en-US" w:eastAsia="zh-CN"/>
        </w:rPr>
        <w:t>68</w:t>
      </w:r>
      <w:r>
        <w:rPr>
          <w:rFonts w:ascii="仿宋" w:hAnsi="仿宋" w:eastAsia="仿宋" w:cs="仿宋"/>
          <w:color w:val="000000"/>
          <w:sz w:val="32"/>
          <w:szCs w:val="32"/>
          <w:shd w:val="clear" w:color="auto" w:fill="FFFFFF"/>
        </w:rPr>
        <w:t>人，其中行政编制</w:t>
      </w:r>
      <w:r>
        <w:rPr>
          <w:rFonts w:hint="eastAsia" w:ascii="仿宋" w:hAnsi="仿宋" w:eastAsia="仿宋" w:cs="仿宋"/>
          <w:color w:val="000000"/>
          <w:sz w:val="32"/>
          <w:szCs w:val="32"/>
          <w:shd w:val="clear" w:color="auto" w:fill="FFFFFF"/>
          <w:lang w:val="en-US" w:eastAsia="zh-CN"/>
        </w:rPr>
        <w:t>35</w:t>
      </w:r>
      <w:r>
        <w:rPr>
          <w:rFonts w:ascii="仿宋" w:hAnsi="仿宋" w:eastAsia="仿宋" w:cs="仿宋"/>
          <w:color w:val="000000"/>
          <w:sz w:val="32"/>
          <w:szCs w:val="32"/>
          <w:shd w:val="clear" w:color="auto" w:fill="FFFFFF"/>
        </w:rPr>
        <w:t>人，</w:t>
      </w:r>
      <w:r>
        <w:rPr>
          <w:rFonts w:hint="eastAsia" w:ascii="仿宋" w:hAnsi="仿宋" w:eastAsia="仿宋" w:cs="仿宋"/>
          <w:color w:val="000000"/>
          <w:sz w:val="32"/>
          <w:szCs w:val="32"/>
          <w:shd w:val="clear" w:color="auto" w:fill="FFFFFF"/>
          <w:lang w:eastAsia="zh-CN"/>
        </w:rPr>
        <w:t>参公</w:t>
      </w:r>
      <w:r>
        <w:rPr>
          <w:rFonts w:hint="eastAsia" w:ascii="仿宋" w:hAnsi="仿宋" w:eastAsia="仿宋" w:cs="仿宋"/>
          <w:color w:val="000000"/>
          <w:sz w:val="32"/>
          <w:szCs w:val="32"/>
          <w:shd w:val="clear" w:color="auto" w:fill="FFFFFF"/>
          <w:lang w:val="en-US" w:eastAsia="zh-CN"/>
        </w:rPr>
        <w:t>3人，</w:t>
      </w:r>
      <w:r>
        <w:rPr>
          <w:rFonts w:ascii="仿宋" w:hAnsi="仿宋" w:eastAsia="仿宋" w:cs="仿宋"/>
          <w:color w:val="000000"/>
          <w:sz w:val="32"/>
          <w:szCs w:val="32"/>
          <w:shd w:val="clear" w:color="auto" w:fill="FFFFFF"/>
        </w:rPr>
        <w:t>事业编制</w:t>
      </w:r>
      <w:r>
        <w:rPr>
          <w:rFonts w:hint="eastAsia" w:ascii="仿宋" w:hAnsi="仿宋" w:eastAsia="仿宋" w:cs="仿宋"/>
          <w:color w:val="000000"/>
          <w:sz w:val="32"/>
          <w:szCs w:val="32"/>
          <w:shd w:val="clear" w:color="auto" w:fill="FFFFFF"/>
          <w:lang w:val="en-US" w:eastAsia="zh-CN"/>
        </w:rPr>
        <w:t>30</w:t>
      </w:r>
      <w:r>
        <w:rPr>
          <w:rFonts w:ascii="仿宋" w:hAnsi="仿宋" w:eastAsia="仿宋" w:cs="仿宋"/>
          <w:color w:val="000000"/>
          <w:sz w:val="32"/>
          <w:szCs w:val="32"/>
          <w:shd w:val="clear" w:color="auto" w:fill="FFFFFF"/>
        </w:rPr>
        <w:t>人。年末实有在职人员</w:t>
      </w:r>
      <w:r>
        <w:rPr>
          <w:rFonts w:hint="eastAsia" w:ascii="仿宋" w:hAnsi="仿宋" w:eastAsia="仿宋" w:cs="仿宋"/>
          <w:color w:val="000000"/>
          <w:sz w:val="32"/>
          <w:szCs w:val="32"/>
          <w:shd w:val="clear" w:color="auto" w:fill="FFFFFF"/>
          <w:lang w:val="en-US" w:eastAsia="zh-CN"/>
        </w:rPr>
        <w:t>71</w:t>
      </w:r>
      <w:r>
        <w:rPr>
          <w:rFonts w:ascii="仿宋" w:hAnsi="仿宋" w:eastAsia="仿宋" w:cs="仿宋"/>
          <w:color w:val="000000"/>
          <w:sz w:val="32"/>
          <w:szCs w:val="32"/>
          <w:shd w:val="clear" w:color="auto" w:fill="FFFFFF"/>
        </w:rPr>
        <w:t>人，</w:t>
      </w:r>
      <w:r>
        <w:rPr>
          <w:rFonts w:hint="eastAsia" w:ascii="仿宋" w:hAnsi="仿宋" w:eastAsia="仿宋" w:cs="仿宋"/>
          <w:color w:val="000000"/>
          <w:sz w:val="32"/>
          <w:szCs w:val="32"/>
          <w:shd w:val="clear" w:color="auto" w:fill="FFFFFF"/>
        </w:rPr>
        <w:t>退休人员</w:t>
      </w:r>
      <w:r>
        <w:rPr>
          <w:rFonts w:hint="eastAsia" w:ascii="仿宋" w:hAnsi="仿宋" w:eastAsia="仿宋" w:cs="仿宋"/>
          <w:color w:val="000000"/>
          <w:sz w:val="32"/>
          <w:szCs w:val="32"/>
          <w:shd w:val="clear" w:color="auto" w:fill="FFFFFF"/>
          <w:lang w:val="en-US" w:eastAsia="zh-CN"/>
        </w:rPr>
        <w:t>86</w:t>
      </w:r>
      <w:r>
        <w:rPr>
          <w:rFonts w:ascii="仿宋" w:hAnsi="仿宋" w:eastAsia="仿宋" w:cs="仿宋"/>
          <w:color w:val="000000"/>
          <w:sz w:val="32"/>
          <w:szCs w:val="32"/>
          <w:shd w:val="clear" w:color="auto" w:fill="FFFFFF"/>
        </w:rPr>
        <w:t>人</w:t>
      </w:r>
      <w:r>
        <w:rPr>
          <w:rFonts w:hint="eastAsia" w:ascii="仿宋" w:hAnsi="仿宋" w:eastAsia="仿宋" w:cs="仿宋"/>
          <w:color w:val="000000"/>
          <w:sz w:val="32"/>
          <w:szCs w:val="32"/>
          <w:shd w:val="clear" w:color="auto" w:fill="FFFFFF"/>
        </w:rPr>
        <w:t>，</w:t>
      </w:r>
      <w:r>
        <w:rPr>
          <w:rFonts w:ascii="仿宋" w:hAnsi="仿宋" w:eastAsia="仿宋" w:cs="仿宋"/>
          <w:color w:val="000000"/>
          <w:sz w:val="32"/>
          <w:szCs w:val="32"/>
          <w:shd w:val="clear" w:color="auto" w:fill="FFFFFF"/>
        </w:rPr>
        <w:t>离休人员</w:t>
      </w:r>
      <w:r>
        <w:rPr>
          <w:rFonts w:hint="eastAsia" w:ascii="仿宋" w:hAnsi="仿宋" w:eastAsia="仿宋" w:cs="仿宋"/>
          <w:color w:val="000000"/>
          <w:sz w:val="32"/>
          <w:szCs w:val="32"/>
          <w:shd w:val="clear" w:color="auto" w:fill="FFFFFF"/>
          <w:lang w:val="en-US" w:eastAsia="zh-CN"/>
        </w:rPr>
        <w:t>0</w:t>
      </w:r>
      <w:r>
        <w:rPr>
          <w:rFonts w:ascii="仿宋" w:hAnsi="仿宋" w:eastAsia="仿宋" w:cs="仿宋"/>
          <w:color w:val="000000"/>
          <w:sz w:val="32"/>
          <w:szCs w:val="32"/>
          <w:shd w:val="clear" w:color="auto" w:fill="FFFFFF"/>
        </w:rPr>
        <w:t>人。</w:t>
      </w:r>
    </w:p>
    <w:p>
      <w:pPr>
        <w:pStyle w:val="6"/>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二、一般公共预算支出情况</w:t>
      </w:r>
    </w:p>
    <w:p>
      <w:pPr>
        <w:pStyle w:val="6"/>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（一）基本支出情况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eastAsia="仿宋_GB2312"/>
          <w:color w:val="0C0C0C"/>
          <w:sz w:val="32"/>
          <w:szCs w:val="32"/>
        </w:rPr>
      </w:pPr>
      <w:r>
        <w:rPr>
          <w:rFonts w:eastAsia="仿宋_GB2312"/>
          <w:color w:val="0C0C0C"/>
          <w:sz w:val="32"/>
          <w:szCs w:val="32"/>
        </w:rPr>
        <w:t>202</w:t>
      </w:r>
      <w:r>
        <w:rPr>
          <w:rFonts w:hint="eastAsia" w:eastAsia="仿宋_GB2312"/>
          <w:color w:val="0C0C0C"/>
          <w:sz w:val="32"/>
          <w:szCs w:val="32"/>
        </w:rPr>
        <w:t>2</w:t>
      </w:r>
      <w:r>
        <w:rPr>
          <w:rFonts w:eastAsia="仿宋_GB2312"/>
          <w:color w:val="0C0C0C"/>
          <w:sz w:val="32"/>
          <w:szCs w:val="32"/>
        </w:rPr>
        <w:t>年基本支出共计</w:t>
      </w:r>
      <w:r>
        <w:rPr>
          <w:rFonts w:hint="eastAsia" w:eastAsia="仿宋_GB2312"/>
          <w:color w:val="0C0C0C"/>
          <w:sz w:val="32"/>
          <w:szCs w:val="32"/>
          <w:lang w:val="en-US" w:eastAsia="zh-CN"/>
        </w:rPr>
        <w:t>1800.46</w:t>
      </w:r>
      <w:r>
        <w:rPr>
          <w:rFonts w:eastAsia="仿宋_GB2312"/>
          <w:color w:val="0C0C0C"/>
          <w:sz w:val="32"/>
          <w:szCs w:val="32"/>
        </w:rPr>
        <w:t>万元</w:t>
      </w:r>
      <w:r>
        <w:rPr>
          <w:rFonts w:hint="eastAsia" w:eastAsia="仿宋_GB2312"/>
          <w:color w:val="0C0C0C"/>
          <w:sz w:val="32"/>
          <w:szCs w:val="32"/>
        </w:rPr>
        <w:t>，其中</w:t>
      </w:r>
      <w:r>
        <w:rPr>
          <w:rFonts w:eastAsia="仿宋_GB2312"/>
          <w:color w:val="0C0C0C"/>
          <w:sz w:val="32"/>
          <w:szCs w:val="32"/>
        </w:rPr>
        <w:t>人员经费</w:t>
      </w:r>
      <w:r>
        <w:rPr>
          <w:rFonts w:hint="eastAsia" w:eastAsia="仿宋_GB2312"/>
          <w:color w:val="0C0C0C"/>
          <w:sz w:val="32"/>
          <w:szCs w:val="32"/>
        </w:rPr>
        <w:t>1314</w:t>
      </w:r>
      <w:r>
        <w:rPr>
          <w:rFonts w:hint="eastAsia" w:eastAsia="仿宋_GB2312"/>
          <w:color w:val="0C0C0C"/>
          <w:sz w:val="32"/>
          <w:szCs w:val="32"/>
          <w:lang w:val="en-US" w:eastAsia="zh-CN"/>
        </w:rPr>
        <w:t>.</w:t>
      </w:r>
      <w:r>
        <w:rPr>
          <w:rFonts w:hint="eastAsia" w:eastAsia="仿宋_GB2312"/>
          <w:color w:val="0C0C0C"/>
          <w:sz w:val="32"/>
          <w:szCs w:val="32"/>
        </w:rPr>
        <w:t>9</w:t>
      </w:r>
      <w:r>
        <w:rPr>
          <w:rFonts w:hint="eastAsia" w:eastAsia="仿宋_GB2312"/>
          <w:color w:val="0C0C0C"/>
          <w:sz w:val="32"/>
          <w:szCs w:val="32"/>
          <w:lang w:val="en-US" w:eastAsia="zh-CN"/>
        </w:rPr>
        <w:t>7</w:t>
      </w:r>
      <w:r>
        <w:rPr>
          <w:rFonts w:eastAsia="仿宋_GB2312"/>
          <w:color w:val="0C0C0C"/>
          <w:sz w:val="32"/>
          <w:szCs w:val="32"/>
        </w:rPr>
        <w:t>万元</w:t>
      </w:r>
      <w:r>
        <w:rPr>
          <w:rFonts w:hint="eastAsia" w:eastAsia="仿宋_GB2312"/>
          <w:color w:val="0C0C0C"/>
          <w:sz w:val="32"/>
          <w:szCs w:val="32"/>
        </w:rPr>
        <w:t>，</w:t>
      </w:r>
      <w:r>
        <w:rPr>
          <w:rFonts w:hint="eastAsia" w:eastAsia="仿宋_GB2312"/>
          <w:color w:val="0C0C0C"/>
          <w:sz w:val="32"/>
          <w:szCs w:val="32"/>
          <w:lang w:eastAsia="zh-CN"/>
        </w:rPr>
        <w:t>公用</w:t>
      </w:r>
      <w:r>
        <w:rPr>
          <w:rFonts w:eastAsia="仿宋_GB2312"/>
          <w:color w:val="0C0C0C"/>
          <w:sz w:val="32"/>
          <w:szCs w:val="32"/>
        </w:rPr>
        <w:t>经费</w:t>
      </w:r>
      <w:r>
        <w:rPr>
          <w:rFonts w:hint="eastAsia" w:eastAsia="仿宋_GB2312"/>
          <w:color w:val="0C0C0C"/>
          <w:sz w:val="32"/>
          <w:szCs w:val="32"/>
        </w:rPr>
        <w:t>485</w:t>
      </w:r>
      <w:r>
        <w:rPr>
          <w:rFonts w:hint="eastAsia" w:eastAsia="仿宋_GB2312"/>
          <w:color w:val="0C0C0C"/>
          <w:sz w:val="32"/>
          <w:szCs w:val="32"/>
          <w:lang w:val="en-US" w:eastAsia="zh-CN"/>
        </w:rPr>
        <w:t>.</w:t>
      </w:r>
      <w:r>
        <w:rPr>
          <w:rFonts w:hint="eastAsia" w:eastAsia="仿宋_GB2312"/>
          <w:color w:val="0C0C0C"/>
          <w:sz w:val="32"/>
          <w:szCs w:val="32"/>
        </w:rPr>
        <w:t>49</w:t>
      </w:r>
      <w:r>
        <w:rPr>
          <w:rFonts w:eastAsia="仿宋_GB2312"/>
          <w:color w:val="0C0C0C"/>
          <w:sz w:val="32"/>
          <w:szCs w:val="32"/>
        </w:rPr>
        <w:t>万元</w:t>
      </w:r>
      <w:r>
        <w:rPr>
          <w:rFonts w:hint="eastAsia" w:eastAsia="仿宋_GB2312"/>
          <w:color w:val="0C0C0C"/>
          <w:sz w:val="32"/>
          <w:szCs w:val="32"/>
        </w:rPr>
        <w:t>。</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eastAsia="仿宋_GB2312"/>
          <w:color w:val="0C0C0C"/>
          <w:sz w:val="32"/>
          <w:szCs w:val="32"/>
        </w:rPr>
      </w:pPr>
      <w:r>
        <w:rPr>
          <w:rFonts w:hint="eastAsia" w:ascii="仿宋" w:hAnsi="仿宋" w:eastAsia="仿宋" w:cs="仿宋"/>
          <w:b/>
          <w:bCs/>
          <w:color w:val="0C0C0C"/>
          <w:sz w:val="32"/>
          <w:szCs w:val="32"/>
        </w:rPr>
        <w:t>1.人员经费</w:t>
      </w:r>
      <w:r>
        <w:rPr>
          <w:rFonts w:hint="eastAsia" w:eastAsia="仿宋_GB2312"/>
          <w:color w:val="0C0C0C"/>
          <w:sz w:val="32"/>
          <w:szCs w:val="32"/>
        </w:rPr>
        <w:t>1314</w:t>
      </w:r>
      <w:r>
        <w:rPr>
          <w:rFonts w:hint="eastAsia" w:eastAsia="仿宋_GB2312"/>
          <w:color w:val="0C0C0C"/>
          <w:sz w:val="32"/>
          <w:szCs w:val="32"/>
          <w:lang w:val="en-US" w:eastAsia="zh-CN"/>
        </w:rPr>
        <w:t>.</w:t>
      </w:r>
      <w:r>
        <w:rPr>
          <w:rFonts w:hint="eastAsia" w:eastAsia="仿宋_GB2312"/>
          <w:color w:val="0C0C0C"/>
          <w:sz w:val="32"/>
          <w:szCs w:val="32"/>
        </w:rPr>
        <w:t>96</w:t>
      </w:r>
      <w:r>
        <w:rPr>
          <w:rFonts w:hint="eastAsia" w:ascii="仿宋" w:hAnsi="仿宋" w:eastAsia="仿宋" w:cs="仿宋"/>
          <w:b/>
          <w:bCs/>
          <w:color w:val="0C0C0C"/>
          <w:sz w:val="32"/>
          <w:szCs w:val="32"/>
        </w:rPr>
        <w:t>万元。</w:t>
      </w:r>
      <w:r>
        <w:rPr>
          <w:rFonts w:eastAsia="仿宋_GB2312"/>
          <w:color w:val="0C0C0C"/>
          <w:sz w:val="32"/>
          <w:szCs w:val="32"/>
        </w:rPr>
        <w:t>主要用于在职人员工资津补贴、奖金、离休费、社保缴费、住房公积金缴费、老干医疗费、抚恤金等。人员经费支出严格按照相关政策和标准列支。</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eastAsia="仿宋_GB2312"/>
          <w:color w:val="0C0C0C"/>
          <w:sz w:val="32"/>
          <w:szCs w:val="32"/>
        </w:rPr>
      </w:pPr>
      <w:r>
        <w:rPr>
          <w:rFonts w:ascii="仿宋" w:hAnsi="仿宋" w:eastAsia="仿宋" w:cs="仿宋"/>
          <w:b/>
          <w:bCs/>
          <w:color w:val="0C0C0C"/>
          <w:sz w:val="32"/>
          <w:szCs w:val="32"/>
        </w:rPr>
        <w:t>2</w:t>
      </w:r>
      <w:r>
        <w:rPr>
          <w:rFonts w:hint="eastAsia" w:ascii="仿宋" w:hAnsi="仿宋" w:eastAsia="仿宋" w:cs="仿宋"/>
          <w:b/>
          <w:bCs/>
          <w:color w:val="0C0C0C"/>
          <w:sz w:val="32"/>
          <w:szCs w:val="32"/>
        </w:rPr>
        <w:t>.</w:t>
      </w:r>
      <w:r>
        <w:rPr>
          <w:rFonts w:ascii="仿宋" w:hAnsi="仿宋" w:eastAsia="仿宋" w:cs="仿宋"/>
          <w:b/>
          <w:bCs/>
          <w:color w:val="0C0C0C"/>
          <w:sz w:val="32"/>
          <w:szCs w:val="32"/>
        </w:rPr>
        <w:t>公用经费</w:t>
      </w:r>
      <w:r>
        <w:rPr>
          <w:rFonts w:hint="eastAsia" w:ascii="仿宋" w:hAnsi="仿宋" w:eastAsia="仿宋" w:cs="仿宋"/>
          <w:b/>
          <w:bCs/>
          <w:color w:val="0C0C0C"/>
          <w:sz w:val="32"/>
          <w:szCs w:val="32"/>
        </w:rPr>
        <w:t>485</w:t>
      </w:r>
      <w:r>
        <w:rPr>
          <w:rFonts w:hint="eastAsia" w:ascii="仿宋" w:hAnsi="仿宋" w:eastAsia="仿宋" w:cs="仿宋"/>
          <w:b/>
          <w:bCs/>
          <w:color w:val="0C0C0C"/>
          <w:sz w:val="32"/>
          <w:szCs w:val="32"/>
          <w:lang w:val="en-US" w:eastAsia="zh-CN"/>
        </w:rPr>
        <w:t>.</w:t>
      </w:r>
      <w:r>
        <w:rPr>
          <w:rFonts w:hint="eastAsia" w:ascii="仿宋" w:hAnsi="仿宋" w:eastAsia="仿宋" w:cs="仿宋"/>
          <w:b/>
          <w:bCs/>
          <w:color w:val="0C0C0C"/>
          <w:sz w:val="32"/>
          <w:szCs w:val="32"/>
        </w:rPr>
        <w:t>49</w:t>
      </w:r>
      <w:r>
        <w:rPr>
          <w:rFonts w:ascii="仿宋" w:hAnsi="仿宋" w:eastAsia="仿宋" w:cs="仿宋"/>
          <w:b/>
          <w:bCs/>
          <w:color w:val="0C0C0C"/>
          <w:sz w:val="32"/>
          <w:szCs w:val="32"/>
        </w:rPr>
        <w:t>万元。</w:t>
      </w:r>
      <w:r>
        <w:rPr>
          <w:rFonts w:eastAsia="仿宋_GB2312"/>
          <w:color w:val="0C0C0C"/>
          <w:sz w:val="32"/>
          <w:szCs w:val="32"/>
        </w:rPr>
        <w:t>主要用于为保障基本运行而发生的办公费、印刷费、邮电费、水费、电费、物业管理费、取暖费、维修费、差旅费等。公用经费支出严格执行部门预算，厉行节约，控制运行成本。</w:t>
      </w:r>
    </w:p>
    <w:p>
      <w:pPr>
        <w:pStyle w:val="6"/>
        <w:widowControl/>
        <w:shd w:val="clear" w:color="auto" w:fill="FFFFFF"/>
        <w:spacing w:beforeAutospacing="0" w:afterAutospacing="0" w:line="480" w:lineRule="atLeast"/>
        <w:ind w:left="640"/>
        <w:jc w:val="both"/>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（二）项目支出情况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仿宋" w:hAnsi="仿宋" w:eastAsia="仿宋" w:cs="仿宋"/>
          <w:color w:val="0C0C0C"/>
          <w:sz w:val="32"/>
          <w:szCs w:val="32"/>
        </w:rPr>
      </w:pPr>
      <w:r>
        <w:rPr>
          <w:rFonts w:hint="eastAsia" w:ascii="仿宋" w:hAnsi="仿宋" w:eastAsia="仿宋" w:cs="仿宋"/>
          <w:color w:val="0C0C0C"/>
          <w:sz w:val="32"/>
          <w:szCs w:val="32"/>
        </w:rPr>
        <w:t>2022年项目支出共计</w:t>
      </w:r>
      <w:r>
        <w:rPr>
          <w:rFonts w:hint="eastAsia" w:ascii="仿宋" w:hAnsi="仿宋" w:eastAsia="仿宋" w:cs="仿宋"/>
          <w:color w:val="0C0C0C"/>
          <w:sz w:val="32"/>
          <w:szCs w:val="32"/>
          <w:lang w:val="en-US" w:eastAsia="zh-CN"/>
        </w:rPr>
        <w:t>1600.52</w:t>
      </w:r>
      <w:r>
        <w:rPr>
          <w:rFonts w:hint="eastAsia" w:ascii="仿宋" w:hAnsi="仿宋" w:eastAsia="仿宋" w:cs="仿宋"/>
          <w:color w:val="0C0C0C"/>
          <w:sz w:val="32"/>
          <w:szCs w:val="32"/>
        </w:rPr>
        <w:t>万元，其中业务工作经费</w:t>
      </w:r>
      <w:r>
        <w:rPr>
          <w:rFonts w:hint="eastAsia" w:ascii="仿宋" w:hAnsi="仿宋" w:eastAsia="仿宋" w:cs="仿宋"/>
          <w:color w:val="0C0C0C"/>
          <w:sz w:val="32"/>
          <w:szCs w:val="32"/>
          <w:lang w:val="en-US" w:eastAsia="zh-CN"/>
        </w:rPr>
        <w:t>639.51</w:t>
      </w:r>
      <w:r>
        <w:rPr>
          <w:rFonts w:hint="eastAsia" w:ascii="仿宋" w:hAnsi="仿宋" w:eastAsia="仿宋" w:cs="仿宋"/>
          <w:color w:val="0C0C0C"/>
          <w:sz w:val="32"/>
          <w:szCs w:val="32"/>
        </w:rPr>
        <w:t>万元，运行维护经费</w:t>
      </w:r>
      <w:r>
        <w:rPr>
          <w:rFonts w:hint="eastAsia" w:ascii="仿宋" w:hAnsi="仿宋" w:eastAsia="仿宋" w:cs="仿宋"/>
          <w:color w:val="0C0C0C"/>
          <w:sz w:val="32"/>
          <w:szCs w:val="32"/>
          <w:lang w:val="en-US" w:eastAsia="zh-CN"/>
        </w:rPr>
        <w:t>112.35</w:t>
      </w:r>
      <w:r>
        <w:rPr>
          <w:rFonts w:hint="eastAsia" w:ascii="仿宋" w:hAnsi="仿宋" w:eastAsia="仿宋" w:cs="仿宋"/>
          <w:color w:val="0C0C0C"/>
          <w:sz w:val="32"/>
          <w:szCs w:val="32"/>
        </w:rPr>
        <w:t>万元，专项资金</w:t>
      </w:r>
      <w:r>
        <w:rPr>
          <w:rFonts w:hint="eastAsia" w:ascii="仿宋" w:hAnsi="仿宋" w:eastAsia="仿宋" w:cs="仿宋"/>
          <w:color w:val="0C0C0C"/>
          <w:sz w:val="32"/>
          <w:szCs w:val="32"/>
          <w:lang w:val="en-US" w:eastAsia="zh-CN"/>
        </w:rPr>
        <w:t>931.58</w:t>
      </w:r>
      <w:r>
        <w:rPr>
          <w:rFonts w:hint="eastAsia" w:ascii="仿宋" w:hAnsi="仿宋" w:eastAsia="仿宋" w:cs="仿宋"/>
          <w:color w:val="0C0C0C"/>
          <w:sz w:val="32"/>
          <w:szCs w:val="32"/>
        </w:rPr>
        <w:t>万元。</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ascii="仿宋" w:hAnsi="仿宋" w:eastAsia="仿宋" w:cs="仿宋"/>
          <w:b/>
          <w:bCs/>
          <w:color w:val="0C0C0C"/>
          <w:sz w:val="32"/>
          <w:szCs w:val="32"/>
        </w:rPr>
        <w:t>1</w:t>
      </w:r>
      <w:r>
        <w:rPr>
          <w:rFonts w:hint="eastAsia" w:ascii="仿宋" w:hAnsi="仿宋" w:eastAsia="仿宋" w:cs="仿宋"/>
          <w:b/>
          <w:bCs/>
          <w:color w:val="0C0C0C"/>
          <w:sz w:val="32"/>
          <w:szCs w:val="32"/>
        </w:rPr>
        <w:t>.</w:t>
      </w:r>
      <w:r>
        <w:rPr>
          <w:rFonts w:ascii="仿宋" w:hAnsi="仿宋" w:eastAsia="仿宋" w:cs="仿宋"/>
          <w:b/>
          <w:bCs/>
          <w:color w:val="0C0C0C"/>
          <w:sz w:val="32"/>
          <w:szCs w:val="32"/>
        </w:rPr>
        <w:t>业务工作经费</w:t>
      </w:r>
      <w:r>
        <w:rPr>
          <w:rFonts w:hint="eastAsia" w:ascii="仿宋" w:hAnsi="仿宋" w:eastAsia="仿宋" w:cs="仿宋"/>
          <w:b/>
          <w:bCs/>
          <w:color w:val="0C0C0C"/>
          <w:sz w:val="32"/>
          <w:szCs w:val="32"/>
          <w:lang w:val="en-US" w:eastAsia="zh-CN"/>
        </w:rPr>
        <w:t>639.51</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r>
        <w:rPr>
          <w:rFonts w:ascii="仿宋" w:hAnsi="仿宋" w:eastAsia="仿宋" w:cs="仿宋"/>
          <w:color w:val="0C0C0C"/>
          <w:sz w:val="32"/>
          <w:szCs w:val="32"/>
        </w:rPr>
        <w:t>主要用于</w:t>
      </w:r>
      <w:r>
        <w:rPr>
          <w:rFonts w:hint="eastAsia" w:ascii="仿宋" w:hAnsi="仿宋" w:eastAsia="仿宋" w:cs="仿宋"/>
          <w:color w:val="0C0C0C"/>
          <w:sz w:val="32"/>
          <w:szCs w:val="32"/>
          <w:lang w:eastAsia="zh-CN"/>
        </w:rPr>
        <w:t>申报项目前期经费；粮食、科技、工业、物价、能源等方面工作开支</w:t>
      </w:r>
      <w:r>
        <w:rPr>
          <w:rFonts w:ascii="仿宋" w:hAnsi="仿宋" w:eastAsia="仿宋" w:cs="仿宋"/>
          <w:color w:val="0C0C0C"/>
          <w:sz w:val="32"/>
          <w:szCs w:val="32"/>
        </w:rPr>
        <w:t>。</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ascii="仿宋" w:hAnsi="仿宋" w:eastAsia="仿宋" w:cs="仿宋"/>
          <w:b/>
          <w:bCs/>
          <w:color w:val="0C0C0C"/>
          <w:sz w:val="32"/>
          <w:szCs w:val="32"/>
        </w:rPr>
        <w:t>2</w:t>
      </w:r>
      <w:r>
        <w:rPr>
          <w:rFonts w:hint="eastAsia" w:ascii="仿宋" w:hAnsi="仿宋" w:eastAsia="仿宋" w:cs="仿宋"/>
          <w:b/>
          <w:bCs/>
          <w:color w:val="0C0C0C"/>
          <w:sz w:val="32"/>
          <w:szCs w:val="32"/>
        </w:rPr>
        <w:t>.运行维护</w:t>
      </w:r>
      <w:r>
        <w:rPr>
          <w:rFonts w:ascii="仿宋" w:hAnsi="仿宋" w:eastAsia="仿宋" w:cs="仿宋"/>
          <w:b/>
          <w:bCs/>
          <w:color w:val="0C0C0C"/>
          <w:sz w:val="32"/>
          <w:szCs w:val="32"/>
        </w:rPr>
        <w:t>经费</w:t>
      </w:r>
      <w:r>
        <w:rPr>
          <w:rFonts w:hint="eastAsia" w:ascii="仿宋" w:hAnsi="仿宋" w:eastAsia="仿宋" w:cs="仿宋"/>
          <w:b/>
          <w:bCs/>
          <w:color w:val="0C0C0C"/>
          <w:sz w:val="32"/>
          <w:szCs w:val="32"/>
          <w:lang w:val="en-US" w:eastAsia="zh-CN"/>
        </w:rPr>
        <w:t>112.35</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r>
        <w:rPr>
          <w:rFonts w:ascii="仿宋" w:hAnsi="仿宋" w:eastAsia="仿宋" w:cs="仿宋"/>
          <w:color w:val="0C0C0C"/>
          <w:sz w:val="32"/>
          <w:szCs w:val="32"/>
        </w:rPr>
        <w:t>主要用于</w:t>
      </w:r>
      <w:r>
        <w:rPr>
          <w:rFonts w:hint="eastAsia" w:ascii="仿宋" w:hAnsi="仿宋" w:eastAsia="仿宋" w:cs="仿宋"/>
          <w:color w:val="0C0C0C"/>
          <w:sz w:val="32"/>
          <w:szCs w:val="32"/>
          <w:lang w:eastAsia="zh-CN"/>
        </w:rPr>
        <w:t>办公费、差旅费、会议费、培训费、资料打印、宣传制作</w:t>
      </w:r>
      <w:r>
        <w:rPr>
          <w:rFonts w:ascii="仿宋" w:hAnsi="仿宋" w:eastAsia="仿宋" w:cs="仿宋"/>
          <w:color w:val="0C0C0C"/>
          <w:sz w:val="32"/>
          <w:szCs w:val="32"/>
        </w:rPr>
        <w:t>等方面。</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hint="eastAsia" w:ascii="仿宋" w:hAnsi="仿宋" w:eastAsia="仿宋" w:cs="仿宋"/>
          <w:b/>
          <w:bCs/>
          <w:color w:val="0C0C0C"/>
          <w:sz w:val="32"/>
          <w:szCs w:val="32"/>
        </w:rPr>
        <w:t>3.上级专项资金</w:t>
      </w:r>
      <w:r>
        <w:rPr>
          <w:rFonts w:hint="eastAsia" w:ascii="仿宋" w:hAnsi="仿宋" w:eastAsia="仿宋" w:cs="仿宋"/>
          <w:b/>
          <w:bCs/>
          <w:color w:val="0C0C0C"/>
          <w:sz w:val="32"/>
          <w:szCs w:val="32"/>
          <w:lang w:val="en-US" w:eastAsia="zh-CN"/>
        </w:rPr>
        <w:t>931.58</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r>
        <w:rPr>
          <w:rFonts w:hint="eastAsia" w:ascii="仿宋" w:hAnsi="仿宋" w:eastAsia="仿宋" w:cs="仿宋"/>
          <w:color w:val="0C0C0C"/>
          <w:sz w:val="32"/>
          <w:szCs w:val="32"/>
        </w:rPr>
        <w:t>其中</w:t>
      </w:r>
      <w:r>
        <w:rPr>
          <w:rFonts w:hint="eastAsia" w:ascii="仿宋" w:hAnsi="仿宋" w:eastAsia="仿宋" w:cs="仿宋"/>
          <w:color w:val="0C0C0C"/>
          <w:sz w:val="32"/>
          <w:szCs w:val="32"/>
          <w:lang w:eastAsia="zh-CN"/>
        </w:rPr>
        <w:t>易地扶贫搬迁</w:t>
      </w:r>
      <w:r>
        <w:rPr>
          <w:rFonts w:hint="eastAsia" w:ascii="仿宋" w:hAnsi="仿宋" w:eastAsia="仿宋" w:cs="仿宋"/>
          <w:color w:val="0C0C0C"/>
          <w:sz w:val="32"/>
          <w:szCs w:val="32"/>
        </w:rPr>
        <w:t>专项资金</w:t>
      </w:r>
      <w:r>
        <w:rPr>
          <w:rFonts w:hint="eastAsia" w:ascii="仿宋" w:hAnsi="仿宋" w:eastAsia="仿宋" w:cs="仿宋"/>
          <w:color w:val="0C0C0C"/>
          <w:sz w:val="32"/>
          <w:szCs w:val="32"/>
          <w:lang w:val="en-US" w:eastAsia="zh-CN"/>
        </w:rPr>
        <w:t>323</w:t>
      </w:r>
      <w:r>
        <w:rPr>
          <w:rFonts w:hint="eastAsia" w:ascii="仿宋" w:hAnsi="仿宋" w:eastAsia="仿宋" w:cs="仿宋"/>
          <w:color w:val="0C0C0C"/>
          <w:sz w:val="32"/>
          <w:szCs w:val="32"/>
        </w:rPr>
        <w:t>万元，</w:t>
      </w:r>
      <w:r>
        <w:rPr>
          <w:rFonts w:ascii="仿宋" w:hAnsi="仿宋" w:eastAsia="仿宋" w:cs="仿宋"/>
          <w:color w:val="0C0C0C"/>
          <w:sz w:val="32"/>
          <w:szCs w:val="32"/>
        </w:rPr>
        <w:t>主要用于</w:t>
      </w:r>
      <w:r>
        <w:rPr>
          <w:rFonts w:hint="eastAsia" w:ascii="仿宋" w:hAnsi="仿宋" w:eastAsia="仿宋" w:cs="仿宋"/>
          <w:color w:val="0C0C0C"/>
          <w:sz w:val="32"/>
          <w:szCs w:val="32"/>
          <w:lang w:eastAsia="zh-CN"/>
        </w:rPr>
        <w:t>易地扶贫搬迁基础建设及后续产业帮扶</w:t>
      </w:r>
      <w:r>
        <w:rPr>
          <w:rFonts w:ascii="仿宋" w:hAnsi="仿宋" w:eastAsia="仿宋" w:cs="仿宋"/>
          <w:color w:val="0C0C0C"/>
          <w:sz w:val="32"/>
          <w:szCs w:val="32"/>
        </w:rPr>
        <w:t>等方面</w:t>
      </w:r>
      <w:r>
        <w:rPr>
          <w:rFonts w:hint="eastAsia" w:ascii="仿宋" w:hAnsi="仿宋" w:eastAsia="仿宋" w:cs="仿宋"/>
          <w:color w:val="0C0C0C"/>
          <w:sz w:val="32"/>
          <w:szCs w:val="32"/>
        </w:rPr>
        <w:t>；</w:t>
      </w:r>
      <w:r>
        <w:rPr>
          <w:rFonts w:hint="eastAsia" w:ascii="仿宋" w:hAnsi="仿宋" w:eastAsia="仿宋" w:cs="仿宋"/>
          <w:color w:val="0C0C0C"/>
          <w:sz w:val="32"/>
          <w:szCs w:val="32"/>
          <w:lang w:eastAsia="zh-CN"/>
        </w:rPr>
        <w:t>科技</w:t>
      </w:r>
      <w:r>
        <w:rPr>
          <w:rFonts w:hint="eastAsia" w:ascii="仿宋" w:hAnsi="仿宋" w:eastAsia="仿宋" w:cs="仿宋"/>
          <w:color w:val="0C0C0C"/>
          <w:sz w:val="32"/>
          <w:szCs w:val="32"/>
        </w:rPr>
        <w:t>专项资金</w:t>
      </w:r>
      <w:r>
        <w:rPr>
          <w:rFonts w:hint="eastAsia" w:ascii="仿宋" w:hAnsi="仿宋" w:eastAsia="仿宋" w:cs="仿宋"/>
          <w:color w:val="0C0C0C"/>
          <w:sz w:val="32"/>
          <w:szCs w:val="32"/>
          <w:lang w:val="en-US" w:eastAsia="zh-CN"/>
        </w:rPr>
        <w:t>94.28</w:t>
      </w:r>
      <w:r>
        <w:rPr>
          <w:rFonts w:hint="eastAsia" w:ascii="仿宋" w:hAnsi="仿宋" w:eastAsia="仿宋" w:cs="仿宋"/>
          <w:color w:val="0C0C0C"/>
          <w:sz w:val="32"/>
          <w:szCs w:val="32"/>
        </w:rPr>
        <w:t>万元，</w:t>
      </w:r>
      <w:r>
        <w:rPr>
          <w:rFonts w:ascii="仿宋" w:hAnsi="仿宋" w:eastAsia="仿宋" w:cs="仿宋"/>
          <w:color w:val="0C0C0C"/>
          <w:sz w:val="32"/>
          <w:szCs w:val="32"/>
        </w:rPr>
        <w:t>主要用于</w:t>
      </w:r>
      <w:r>
        <w:rPr>
          <w:rFonts w:hint="eastAsia" w:ascii="仿宋" w:hAnsi="仿宋" w:eastAsia="仿宋" w:cs="仿宋"/>
          <w:color w:val="0C0C0C"/>
          <w:sz w:val="32"/>
          <w:szCs w:val="32"/>
          <w:lang w:eastAsia="zh-CN"/>
        </w:rPr>
        <w:t>科技成果推广、转化，科技产业扶持</w:t>
      </w:r>
      <w:r>
        <w:rPr>
          <w:rFonts w:ascii="仿宋" w:hAnsi="仿宋" w:eastAsia="仿宋" w:cs="仿宋"/>
          <w:color w:val="0C0C0C"/>
          <w:sz w:val="32"/>
          <w:szCs w:val="32"/>
        </w:rPr>
        <w:t>等方面</w:t>
      </w:r>
      <w:r>
        <w:rPr>
          <w:rFonts w:hint="eastAsia" w:ascii="仿宋" w:hAnsi="仿宋" w:eastAsia="仿宋" w:cs="仿宋"/>
          <w:color w:val="0C0C0C"/>
          <w:sz w:val="32"/>
          <w:szCs w:val="32"/>
          <w:lang w:eastAsia="zh-CN"/>
        </w:rPr>
        <w:t>；以工代赈专项资金</w:t>
      </w:r>
      <w:r>
        <w:rPr>
          <w:rFonts w:hint="eastAsia" w:ascii="仿宋" w:hAnsi="仿宋" w:eastAsia="仿宋" w:cs="仿宋"/>
          <w:color w:val="0C0C0C"/>
          <w:sz w:val="32"/>
          <w:szCs w:val="32"/>
          <w:lang w:val="en-US" w:eastAsia="zh-CN"/>
        </w:rPr>
        <w:t>176.5万元，主要用于以工代赈项目支出；财贸幼儿园专项资金91万元，主要用于财贸幼儿园教学楼建设；粮油风险基金70万元，主要用于粮食储备等；中央引导地方科技发展资金42万元，主要用于科技发展；其他专项资金134.8万元，主要用于疫情物资储备等</w:t>
      </w:r>
      <w:r>
        <w:rPr>
          <w:rFonts w:hint="eastAsia" w:ascii="仿宋" w:hAnsi="仿宋" w:eastAsia="仿宋" w:cs="仿宋"/>
          <w:color w:val="0C0C0C"/>
          <w:sz w:val="32"/>
          <w:szCs w:val="32"/>
        </w:rPr>
        <w:t>。</w:t>
      </w:r>
    </w:p>
    <w:p>
      <w:pPr>
        <w:pStyle w:val="6"/>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三、政府性基金预算支出情况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黑体" w:hAnsi="黑体" w:eastAsia="黑体" w:cs="黑体"/>
          <w:color w:val="000000"/>
          <w:sz w:val="32"/>
          <w:szCs w:val="32"/>
          <w:shd w:val="clear" w:color="auto" w:fill="FFFFFF"/>
        </w:rPr>
      </w:pPr>
      <w:r>
        <w:rPr>
          <w:rFonts w:ascii="仿宋" w:hAnsi="仿宋" w:eastAsia="仿宋" w:cs="仿宋"/>
          <w:color w:val="0C0C0C"/>
          <w:sz w:val="32"/>
          <w:szCs w:val="32"/>
        </w:rPr>
        <w:t>202</w:t>
      </w:r>
      <w:r>
        <w:rPr>
          <w:rFonts w:hint="eastAsia" w:ascii="仿宋" w:hAnsi="仿宋" w:eastAsia="仿宋" w:cs="仿宋"/>
          <w:color w:val="0C0C0C"/>
          <w:sz w:val="32"/>
          <w:szCs w:val="32"/>
        </w:rPr>
        <w:t>2年度政府性基金预算支出</w:t>
      </w:r>
      <w:r>
        <w:rPr>
          <w:rFonts w:hint="eastAsia" w:ascii="仿宋" w:hAnsi="仿宋" w:eastAsia="仿宋" w:cs="仿宋"/>
          <w:color w:val="0C0C0C"/>
          <w:sz w:val="32"/>
          <w:szCs w:val="32"/>
          <w:lang w:val="en-US" w:eastAsia="zh-CN"/>
        </w:rPr>
        <w:t>82.92万元，主要用于川石村七组土地补偿款和地方政府专项债券咨询服务费</w:t>
      </w:r>
      <w:bookmarkStart w:id="0" w:name="_GoBack"/>
      <w:bookmarkEnd w:id="0"/>
      <w:r>
        <w:rPr>
          <w:rFonts w:hint="eastAsia" w:ascii="仿宋" w:hAnsi="仿宋" w:eastAsia="仿宋" w:cs="仿宋"/>
          <w:color w:val="0C0C0C"/>
          <w:sz w:val="32"/>
          <w:szCs w:val="32"/>
        </w:rPr>
        <w:t>。</w:t>
      </w:r>
    </w:p>
    <w:p>
      <w:pPr>
        <w:pStyle w:val="6"/>
        <w:widowControl/>
        <w:numPr>
          <w:ilvl w:val="0"/>
          <w:numId w:val="1"/>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国有资本经营预算支出情况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仿宋" w:hAnsi="仿宋" w:eastAsia="仿宋" w:cs="仿宋"/>
          <w:color w:val="0C0C0C"/>
          <w:sz w:val="32"/>
          <w:szCs w:val="32"/>
        </w:rPr>
      </w:pPr>
      <w:r>
        <w:rPr>
          <w:rFonts w:ascii="仿宋" w:hAnsi="仿宋" w:eastAsia="仿宋" w:cs="仿宋"/>
          <w:color w:val="0C0C0C"/>
          <w:sz w:val="32"/>
          <w:szCs w:val="32"/>
        </w:rPr>
        <w:t>202</w:t>
      </w:r>
      <w:r>
        <w:rPr>
          <w:rFonts w:hint="eastAsia" w:ascii="仿宋" w:hAnsi="仿宋" w:eastAsia="仿宋" w:cs="仿宋"/>
          <w:color w:val="0C0C0C"/>
          <w:sz w:val="32"/>
          <w:szCs w:val="32"/>
        </w:rPr>
        <w:t>2</w:t>
      </w:r>
      <w:r>
        <w:rPr>
          <w:rFonts w:ascii="仿宋" w:hAnsi="仿宋" w:eastAsia="仿宋" w:cs="仿宋"/>
          <w:color w:val="0C0C0C"/>
          <w:sz w:val="32"/>
          <w:szCs w:val="32"/>
        </w:rPr>
        <w:t>年度</w:t>
      </w:r>
      <w:r>
        <w:rPr>
          <w:rFonts w:ascii="仿宋" w:hAnsi="仿宋" w:eastAsia="仿宋" w:cs="仿宋"/>
          <w:color w:val="FF0000"/>
          <w:sz w:val="32"/>
          <w:szCs w:val="32"/>
        </w:rPr>
        <w:t>无</w:t>
      </w:r>
      <w:r>
        <w:rPr>
          <w:rFonts w:ascii="仿宋" w:hAnsi="仿宋" w:eastAsia="仿宋" w:cs="仿宋"/>
          <w:color w:val="0C0C0C"/>
          <w:sz w:val="32"/>
          <w:szCs w:val="32"/>
        </w:rPr>
        <w:t>国有资本经营预算支出。</w:t>
      </w:r>
    </w:p>
    <w:p>
      <w:pPr>
        <w:pStyle w:val="6"/>
        <w:widowControl/>
        <w:numPr>
          <w:ilvl w:val="0"/>
          <w:numId w:val="1"/>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社会保险基金预算支出情况</w:t>
      </w:r>
    </w:p>
    <w:p>
      <w:pPr>
        <w:widowControl/>
        <w:ind w:firstLine="640" w:firstLineChars="200"/>
        <w:jc w:val="left"/>
        <w:rPr>
          <w:rFonts w:ascii="黑体" w:hAnsi="黑体" w:eastAsia="黑体" w:cs="黑体"/>
          <w:color w:val="000000"/>
          <w:sz w:val="32"/>
          <w:szCs w:val="32"/>
          <w:shd w:val="clear" w:color="auto" w:fill="FFFFFF"/>
        </w:rPr>
      </w:pPr>
      <w:r>
        <w:rPr>
          <w:rFonts w:ascii="仿宋" w:hAnsi="仿宋" w:eastAsia="仿宋" w:cs="仿宋"/>
          <w:color w:val="0C0C0C"/>
          <w:sz w:val="32"/>
          <w:szCs w:val="32"/>
        </w:rPr>
        <w:t>202</w:t>
      </w:r>
      <w:r>
        <w:rPr>
          <w:rFonts w:hint="eastAsia" w:ascii="仿宋" w:hAnsi="仿宋" w:eastAsia="仿宋" w:cs="仿宋"/>
          <w:color w:val="0C0C0C"/>
          <w:sz w:val="32"/>
          <w:szCs w:val="32"/>
        </w:rPr>
        <w:t>2</w:t>
      </w:r>
      <w:r>
        <w:rPr>
          <w:rFonts w:ascii="仿宋" w:hAnsi="仿宋" w:eastAsia="仿宋" w:cs="仿宋"/>
          <w:color w:val="0C0C0C"/>
          <w:sz w:val="32"/>
          <w:szCs w:val="32"/>
        </w:rPr>
        <w:t>年度</w:t>
      </w:r>
      <w:r>
        <w:rPr>
          <w:rFonts w:ascii="仿宋" w:hAnsi="仿宋" w:eastAsia="仿宋" w:cs="仿宋"/>
          <w:color w:val="FF0000"/>
          <w:sz w:val="32"/>
          <w:szCs w:val="32"/>
        </w:rPr>
        <w:t>无</w:t>
      </w:r>
      <w:r>
        <w:rPr>
          <w:rFonts w:ascii="仿宋" w:hAnsi="仿宋" w:eastAsia="仿宋" w:cs="仿宋"/>
          <w:color w:val="0C0C0C"/>
          <w:sz w:val="32"/>
          <w:szCs w:val="32"/>
        </w:rPr>
        <w:t>社会保险基金预算支出。</w:t>
      </w:r>
    </w:p>
    <w:p>
      <w:pPr>
        <w:pStyle w:val="6"/>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六、部门整体支出绩效情况</w:t>
      </w:r>
    </w:p>
    <w:p>
      <w:pPr>
        <w:pStyle w:val="6"/>
        <w:widowControl/>
        <w:shd w:val="clear" w:color="auto" w:fill="FFFFFF"/>
        <w:spacing w:beforeAutospacing="0" w:afterAutospacing="0" w:line="480" w:lineRule="atLeast"/>
        <w:ind w:firstLine="645"/>
        <w:jc w:val="both"/>
        <w:rPr>
          <w:rFonts w:hint="eastAsia" w:ascii="仿宋" w:hAnsi="仿宋" w:eastAsia="仿宋" w:cs="仿宋"/>
          <w:color w:val="0C0C0C"/>
          <w:kern w:val="2"/>
          <w:sz w:val="32"/>
          <w:szCs w:val="32"/>
        </w:rPr>
      </w:pPr>
      <w:r>
        <w:rPr>
          <w:rFonts w:hint="eastAsia" w:ascii="仿宋" w:hAnsi="仿宋" w:eastAsia="仿宋" w:cs="仿宋"/>
          <w:color w:val="0C0C0C"/>
          <w:kern w:val="2"/>
          <w:sz w:val="32"/>
          <w:szCs w:val="32"/>
        </w:rPr>
        <w:t>2022年，在县委、县政府的领导下，坚持依法行政、执法为民，稳中求进，改革创新，积极作为，突出抓改革强监管促发展，各方面工作稳步推进。根据部门整体支出绩效自评评分（详见附件2），得分</w:t>
      </w:r>
      <w:r>
        <w:rPr>
          <w:rFonts w:hint="eastAsia" w:ascii="仿宋" w:hAnsi="仿宋" w:eastAsia="仿宋" w:cs="仿宋"/>
          <w:color w:val="0C0C0C"/>
          <w:kern w:val="2"/>
          <w:sz w:val="32"/>
          <w:szCs w:val="32"/>
          <w:lang w:val="en-US" w:eastAsia="zh-CN"/>
        </w:rPr>
        <w:t>88</w:t>
      </w:r>
      <w:r>
        <w:rPr>
          <w:rFonts w:hint="eastAsia" w:ascii="仿宋" w:hAnsi="仿宋" w:eastAsia="仿宋" w:cs="仿宋"/>
          <w:color w:val="0C0C0C"/>
          <w:kern w:val="2"/>
          <w:sz w:val="32"/>
          <w:szCs w:val="32"/>
        </w:rPr>
        <w:t>分，部门整体支出绩效为“良”。主要绩效如下：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color w:val="auto"/>
          <w:sz w:val="32"/>
          <w:szCs w:val="32"/>
          <w:lang w:eastAsia="zh-CN"/>
        </w:rPr>
        <w:t>（一）成绩一：</w:t>
      </w:r>
      <w:r>
        <w:rPr>
          <w:rFonts w:hint="eastAsia" w:ascii="仿宋" w:hAnsi="仿宋" w:eastAsia="仿宋" w:cs="仿宋"/>
          <w:b/>
          <w:bCs/>
          <w:sz w:val="32"/>
          <w:szCs w:val="32"/>
          <w:lang w:val="en-US" w:eastAsia="zh-CN"/>
        </w:rPr>
        <w:t>加大经济运行调度，针对薄弱环节全面攻坚。</w:t>
      </w:r>
      <w:r>
        <w:rPr>
          <w:rFonts w:hint="eastAsia" w:ascii="仿宋" w:hAnsi="仿宋" w:eastAsia="仿宋" w:cs="仿宋"/>
          <w:sz w:val="32"/>
          <w:szCs w:val="32"/>
          <w:lang w:val="en-US" w:eastAsia="zh-CN"/>
        </w:rPr>
        <w:t>全面落实“三重点”目标考核机制，加大对县域经济高质量发展评价指标固定资产投资、规模工业增加值等宏观经济主要指标、高质量发展评价指标运行调度，尤其是对我单位负责的高质量发展评价指标、市县绩效考核指标等坚持每月一调度，全面查找短板弱项并落实项目建设、资金争取、指标评价、工业经济降本增效、固定资产投资项目入库、企业入库、人才引进等攻坚举措，在县政府“三重点</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考核中，我局8次位居全县一类单位优秀等级。高质量发展综合绩效评价指标、绩效考核指标等运行保持基本稳定，基本能完成年度目标任务。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val="0"/>
          <w:bCs w:val="0"/>
          <w:kern w:val="2"/>
          <w:sz w:val="32"/>
          <w:szCs w:val="32"/>
          <w:lang w:val="en-US" w:eastAsia="zh-CN" w:bidi="ar"/>
        </w:rPr>
      </w:pPr>
      <w:r>
        <w:rPr>
          <w:rFonts w:hint="eastAsia" w:ascii="仿宋" w:hAnsi="仿宋" w:eastAsia="仿宋" w:cs="仿宋"/>
          <w:b/>
          <w:bCs/>
          <w:sz w:val="32"/>
          <w:szCs w:val="32"/>
          <w:lang w:val="en-US" w:eastAsia="zh-CN"/>
        </w:rPr>
        <w:t>（二）</w:t>
      </w:r>
      <w:r>
        <w:rPr>
          <w:rFonts w:hint="eastAsia" w:ascii="仿宋" w:hAnsi="仿宋" w:eastAsia="仿宋" w:cs="仿宋"/>
          <w:b/>
          <w:bCs/>
          <w:color w:val="auto"/>
          <w:sz w:val="32"/>
          <w:szCs w:val="32"/>
          <w:lang w:eastAsia="zh-CN"/>
        </w:rPr>
        <w:t>成绩二：</w:t>
      </w:r>
      <w:r>
        <w:rPr>
          <w:rFonts w:hint="eastAsia" w:ascii="仿宋" w:hAnsi="仿宋" w:eastAsia="仿宋" w:cs="仿宋"/>
          <w:b/>
          <w:bCs/>
          <w:sz w:val="32"/>
          <w:szCs w:val="32"/>
          <w:lang w:val="en-US" w:eastAsia="zh-CN"/>
        </w:rPr>
        <w:t>加大项目谋划申报，努力争取上级更多支持。</w:t>
      </w:r>
      <w:r>
        <w:rPr>
          <w:rFonts w:hint="eastAsia" w:ascii="仿宋" w:hAnsi="仿宋" w:eastAsia="仿宋" w:cs="仿宋"/>
          <w:sz w:val="32"/>
          <w:szCs w:val="32"/>
          <w:lang w:eastAsia="zh-CN"/>
        </w:rPr>
        <w:t>抢抓中央和省里稳经济大盘一揽子政策措施及后续政策，下大力气做好中央预算内和政府专项债券项目储备申报和组织推进工作，</w:t>
      </w:r>
      <w:r>
        <w:rPr>
          <w:rFonts w:hint="eastAsia" w:ascii="仿宋" w:hAnsi="仿宋" w:eastAsia="仿宋" w:cs="仿宋"/>
          <w:sz w:val="32"/>
          <w:szCs w:val="32"/>
          <w:lang w:val="en-US" w:eastAsia="zh-CN"/>
        </w:rPr>
        <w:t>2022年争取中央预算内项目5个，到位资金9243万元，其中秀水水库到位资金5000万元，重点区域生态保护和修复专项到位资金1973万元。争取到绥宁县绿色科技产业示范园、职教新城综合开发、人民医院提标扩能（一期）等7个专项债券项目资金4.66亿元。</w:t>
      </w:r>
      <w:r>
        <w:rPr>
          <w:rFonts w:hint="eastAsia" w:ascii="仿宋" w:hAnsi="仿宋" w:eastAsia="仿宋" w:cs="仿宋"/>
          <w:b w:val="0"/>
          <w:bCs w:val="0"/>
          <w:kern w:val="2"/>
          <w:sz w:val="32"/>
          <w:szCs w:val="32"/>
          <w:lang w:val="en-US" w:eastAsia="zh-CN" w:bidi="ar"/>
        </w:rPr>
        <w:t>提前谋划储备2023年政府专项债券、中央预算内投资项目，2023年政府专项债券项目我县共储备了绥宁县公办幼儿园（一期）、佘家河水环境综合治理、滕家园棚户区改造等23个项目，申报债券需求额度22.81亿元。目前，我县申报的老年养护中心二期、红军征战绥宁旅游线路基础设施等10个项目中，除公租房建设项目外，达到了“一件三证”要求，已通过省、市发改委和省财政厅审查，计划争取债券资金5.83亿元。其他13个规划项目中，城乡客运一体化、应急救援物资储备及城镇公共充电站（桩）3个项目正在开展可研编制、初步设计等前期工作。中央预算内投资项目申报方面，按照省市发改委非储不报要求，组织各部门开展2023年中央预算内投资项目谋划，指导做好项目可研审批、初步设计审批和概算审批等前期工作，力争达到概算审批等前期阶段。目前，我县申报的绥宁县殡仪馆、老年养护中心二期、蓼水河绥宁县治理工程、城北（大寨）片区生态环境系统治理、污水处理厂扩能改造、老旧小区改造配套基础设施等13个中央预算内投资项目通过市发改委审查并上报省发改委，总投资9.07亿元，计划争取中央预算投资4.35亿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w:t>
      </w:r>
      <w:r>
        <w:rPr>
          <w:rFonts w:hint="eastAsia" w:ascii="仿宋" w:hAnsi="仿宋" w:eastAsia="仿宋" w:cs="仿宋"/>
          <w:b/>
          <w:bCs/>
          <w:color w:val="auto"/>
          <w:sz w:val="32"/>
          <w:szCs w:val="32"/>
          <w:lang w:eastAsia="zh-CN"/>
        </w:rPr>
        <w:t>成绩三：</w:t>
      </w:r>
      <w:r>
        <w:rPr>
          <w:rFonts w:hint="eastAsia" w:ascii="仿宋" w:hAnsi="仿宋" w:eastAsia="仿宋" w:cs="仿宋"/>
          <w:b/>
          <w:bCs/>
          <w:sz w:val="32"/>
          <w:szCs w:val="32"/>
          <w:lang w:val="en-US" w:eastAsia="zh-CN"/>
        </w:rPr>
        <w:t>组织推进重大项目建设，增大投资总量。</w:t>
      </w:r>
      <w:r>
        <w:rPr>
          <w:rFonts w:hint="eastAsia" w:ascii="Times New Roman" w:hAnsi="Times New Roman" w:eastAsia="仿宋_GB2312" w:cs="仿宋_GB2312"/>
          <w:color w:val="auto"/>
          <w:kern w:val="2"/>
          <w:sz w:val="32"/>
          <w:szCs w:val="32"/>
          <w:lang w:val="en-US" w:eastAsia="zh-CN" w:bidi="ar-SA"/>
        </w:rPr>
        <w:t>聚焦疑难问题坚持密集调度和专班推进机制，</w:t>
      </w:r>
      <w:r>
        <w:rPr>
          <w:rFonts w:hint="eastAsia" w:ascii="仿宋" w:hAnsi="仿宋" w:eastAsia="仿宋" w:cs="仿宋"/>
          <w:sz w:val="32"/>
          <w:szCs w:val="32"/>
          <w:lang w:val="en-US" w:eastAsia="zh-CN"/>
        </w:rPr>
        <w:t>组织推进中央预算内投资、专项债券项目和重点项目建设，放大投资效益。中央预算内投资项目方面，佘家河水环境综合治理、2022年以工代赈示范项目等项目已开工建设，民族中学宿舍楼项目已完成施工图审查，计划在12月开工。全面挖掘存量未开工项目，加大督导督办力度，2021年到位的花园阁湿地公园湿地生态保护和修复专项、老旧小区改造联纸厂片区配套设施和联合片区配套设施在年底前均可竣工。专项债券项目推进方面，2022年争取到位的绥宁县绿色科技产业示范园、职教新城综合开发、人民医院提标扩能（一期）等项目均开工建设，存量未开工的城乡供水一体化、湘商产业园三期2个项目中，</w:t>
      </w:r>
      <w:r>
        <w:rPr>
          <w:rFonts w:hint="eastAsia" w:ascii="仿宋" w:hAnsi="仿宋" w:eastAsia="仿宋" w:cs="仿宋"/>
          <w:sz w:val="32"/>
          <w:szCs w:val="32"/>
          <w:highlight w:val="none"/>
          <w:lang w:val="en-US" w:eastAsia="zh-CN"/>
        </w:rPr>
        <w:t>城乡供水一体化项目已完成项目招标，正在开展工程监理招标，预计12月上旬可开工建设。湘商产业园三期项目正在编制项目建设方案，预计12月可开工建</w:t>
      </w:r>
      <w:r>
        <w:rPr>
          <w:rFonts w:hint="eastAsia" w:ascii="仿宋" w:hAnsi="仿宋" w:eastAsia="仿宋" w:cs="仿宋"/>
          <w:sz w:val="32"/>
          <w:szCs w:val="32"/>
          <w:lang w:val="en-US" w:eastAsia="zh-CN"/>
        </w:rPr>
        <w:t>设。按照既定时间和节点目标稳步推进重点项目建设，县委、县政府确定的</w:t>
      </w:r>
      <w:r>
        <w:rPr>
          <w:rFonts w:hint="eastAsia" w:ascii="仿宋" w:hAnsi="仿宋" w:eastAsia="仿宋" w:cs="仿宋"/>
          <w:b w:val="0"/>
          <w:bCs w:val="0"/>
          <w:sz w:val="32"/>
          <w:szCs w:val="32"/>
          <w:lang w:val="en-US" w:eastAsia="zh-CN"/>
        </w:rPr>
        <w:t>秀水水库、高标准农田、社会停车场、乡镇污水处理厂、粮食低温仓等</w:t>
      </w:r>
      <w:r>
        <w:rPr>
          <w:rFonts w:hint="eastAsia" w:ascii="仿宋" w:hAnsi="仿宋" w:eastAsia="仿宋" w:cs="仿宋"/>
          <w:sz w:val="32"/>
          <w:szCs w:val="32"/>
          <w:lang w:val="en-US" w:eastAsia="zh-CN"/>
        </w:rPr>
        <w:t>66个重点项目中，至11月，已有湖南中集竹木复合底板生产线扩建、绥宁花猪原种场、李熙桥粮食低温仓等48个项目开工建设或竣工，完成投资18亿元，</w:t>
      </w:r>
      <w:r>
        <w:rPr>
          <w:rFonts w:hint="eastAsia" w:ascii="仿宋_GB2312" w:hAnsi="仿宋_GB2312" w:eastAsia="仿宋_GB2312" w:cs="仿宋_GB2312"/>
          <w:color w:val="000000"/>
          <w:sz w:val="32"/>
          <w:szCs w:val="32"/>
          <w:highlight w:val="none"/>
        </w:rPr>
        <w:t>占年投资计划的</w:t>
      </w:r>
      <w:r>
        <w:rPr>
          <w:rFonts w:hint="eastAsia" w:ascii="仿宋_GB2312" w:hAnsi="仿宋_GB2312" w:eastAsia="仿宋_GB2312" w:cs="仿宋_GB2312"/>
          <w:sz w:val="32"/>
          <w:szCs w:val="32"/>
          <w:highlight w:val="none"/>
          <w:lang w:val="en-US" w:eastAsia="zh-CN"/>
        </w:rPr>
        <w:t>32.2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sz w:val="32"/>
          <w:szCs w:val="32"/>
          <w:highlight w:val="none"/>
        </w:rPr>
        <w:t>。</w:t>
      </w:r>
      <w:r>
        <w:rPr>
          <w:rFonts w:hint="eastAsia" w:ascii="仿宋" w:hAnsi="仿宋" w:eastAsia="仿宋" w:cs="仿宋"/>
          <w:sz w:val="32"/>
          <w:szCs w:val="32"/>
          <w:lang w:val="en-US" w:eastAsia="zh-CN"/>
        </w:rPr>
        <w:t>加大重大项目争取，兴永郴赣铁路已纳入国家中长期铁路建设规划。</w:t>
      </w:r>
      <w:r>
        <w:rPr>
          <w:rFonts w:hint="eastAsia" w:ascii="仿宋" w:hAnsi="仿宋" w:eastAsia="仿宋" w:cs="仿宋"/>
          <w:b w:val="0"/>
          <w:bCs w:val="0"/>
          <w:sz w:val="32"/>
          <w:szCs w:val="32"/>
          <w:lang w:val="en-US" w:eastAsia="zh-CN"/>
        </w:rPr>
        <w:t>贵州天柱经湖南会同、绥宁北至洞口高速公路纳入</w:t>
      </w:r>
      <w:r>
        <w:rPr>
          <w:rFonts w:hint="eastAsia" w:ascii="仿宋" w:hAnsi="仿宋" w:eastAsia="仿宋"/>
          <w:b w:val="0"/>
          <w:bCs w:val="0"/>
          <w:color w:val="auto"/>
          <w:sz w:val="32"/>
          <w:szCs w:val="32"/>
          <w:lang w:eastAsia="zh-CN"/>
        </w:rPr>
        <w:t>国家公路网规划（</w:t>
      </w:r>
      <w:r>
        <w:rPr>
          <w:rFonts w:hint="eastAsia" w:ascii="仿宋" w:hAnsi="仿宋" w:eastAsia="仿宋"/>
          <w:b w:val="0"/>
          <w:bCs w:val="0"/>
          <w:color w:val="auto"/>
          <w:sz w:val="32"/>
          <w:szCs w:val="32"/>
          <w:lang w:val="en-US" w:eastAsia="zh-CN"/>
        </w:rPr>
        <w:t>2013—2030年），正在积极争取纳入湖南省“十四五”规划。推进新能源产业发展，引用三一重能等规模企业开发县内风能光伏产业。我</w:t>
      </w:r>
      <w:r>
        <w:rPr>
          <w:rFonts w:hint="eastAsia" w:ascii="Times New Roman" w:hAnsi="Times New Roman" w:eastAsia="仿宋_GB2312" w:cs="Times New Roman"/>
          <w:color w:val="auto"/>
          <w:sz w:val="32"/>
          <w:szCs w:val="32"/>
          <w:highlight w:val="none"/>
          <w:lang w:val="en-US" w:eastAsia="zh-CN"/>
        </w:rPr>
        <w:t>县牛头岭、</w:t>
      </w:r>
      <w:r>
        <w:rPr>
          <w:rFonts w:hint="eastAsia" w:ascii="仿宋" w:hAnsi="仿宋" w:eastAsia="仿宋"/>
          <w:sz w:val="32"/>
          <w:szCs w:val="32"/>
        </w:rPr>
        <w:t>凤溪山</w:t>
      </w:r>
      <w:r>
        <w:rPr>
          <w:rFonts w:hint="eastAsia" w:ascii="仿宋" w:hAnsi="仿宋" w:eastAsia="仿宋"/>
          <w:sz w:val="32"/>
          <w:szCs w:val="32"/>
          <w:lang w:eastAsia="zh-CN"/>
        </w:rPr>
        <w:t>、</w:t>
      </w:r>
      <w:r>
        <w:rPr>
          <w:rFonts w:hint="eastAsia" w:ascii="仿宋" w:hAnsi="仿宋" w:eastAsia="仿宋"/>
          <w:sz w:val="32"/>
          <w:szCs w:val="32"/>
        </w:rPr>
        <w:t>龙烟山</w:t>
      </w:r>
      <w:r>
        <w:rPr>
          <w:rFonts w:hint="eastAsia" w:ascii="仿宋" w:hAnsi="仿宋" w:eastAsia="仿宋"/>
          <w:sz w:val="32"/>
          <w:szCs w:val="32"/>
          <w:lang w:eastAsia="zh-CN"/>
        </w:rPr>
        <w:t>、</w:t>
      </w:r>
      <w:r>
        <w:rPr>
          <w:rFonts w:hint="eastAsia" w:ascii="仿宋" w:hAnsi="仿宋" w:eastAsia="仿宋"/>
          <w:sz w:val="32"/>
          <w:szCs w:val="32"/>
        </w:rPr>
        <w:t>千家寨</w:t>
      </w:r>
      <w:r>
        <w:rPr>
          <w:rFonts w:hint="eastAsia" w:ascii="仿宋" w:hAnsi="仿宋" w:eastAsia="仿宋"/>
          <w:sz w:val="32"/>
          <w:szCs w:val="32"/>
          <w:lang w:eastAsia="zh-CN"/>
        </w:rPr>
        <w:t>和高顶山二期、三期、四期风电场开发项目已纳入湖南省</w:t>
      </w:r>
      <w:r>
        <w:rPr>
          <w:rFonts w:hint="eastAsia" w:ascii="仿宋" w:hAnsi="仿宋" w:eastAsia="仿宋" w:cs="仿宋"/>
          <w:sz w:val="32"/>
          <w:szCs w:val="32"/>
        </w:rPr>
        <w:t>十四五规划风电建设计划</w:t>
      </w:r>
      <w:r>
        <w:rPr>
          <w:rFonts w:hint="eastAsia" w:ascii="仿宋" w:hAnsi="仿宋" w:eastAsia="仿宋" w:cs="仿宋"/>
          <w:sz w:val="32"/>
          <w:szCs w:val="32"/>
          <w:lang w:eastAsia="zh-CN"/>
        </w:rPr>
        <w:t>，总装机容量</w:t>
      </w:r>
      <w:r>
        <w:rPr>
          <w:rFonts w:hint="eastAsia" w:ascii="仿宋" w:hAnsi="仿宋" w:eastAsia="仿宋" w:cs="仿宋"/>
          <w:sz w:val="32"/>
          <w:szCs w:val="32"/>
          <w:lang w:val="en-US" w:eastAsia="zh-CN"/>
        </w:rPr>
        <w:t>39万kw，总投资近40亿元，正在开展测风等前期工作。</w:t>
      </w:r>
      <w:r>
        <w:rPr>
          <w:rFonts w:hint="eastAsia" w:ascii="仿宋" w:hAnsi="仿宋" w:eastAsia="仿宋" w:cs="仿宋"/>
          <w:b w:val="0"/>
          <w:bCs w:val="0"/>
          <w:color w:val="auto"/>
          <w:kern w:val="2"/>
          <w:sz w:val="32"/>
          <w:szCs w:val="32"/>
          <w:highlight w:val="none"/>
          <w:lang w:val="en-US" w:eastAsia="zh-CN" w:bidi="ar"/>
        </w:rPr>
        <w:t>绥宁县220KV变电站电化学储能站项目建设、全县集中式和分布式光伏发电项目已成功招商，正在开展项目前期工作。</w:t>
      </w:r>
      <w:r>
        <w:rPr>
          <w:rFonts w:hint="eastAsia" w:ascii="仿宋" w:hAnsi="仿宋" w:eastAsia="仿宋"/>
          <w:sz w:val="32"/>
          <w:szCs w:val="32"/>
        </w:rPr>
        <w:t>唐家坊镇李熙桥镇林（农）光互补集中式光伏发电项目</w:t>
      </w:r>
      <w:r>
        <w:rPr>
          <w:rFonts w:hint="eastAsia" w:ascii="仿宋" w:hAnsi="仿宋" w:eastAsia="仿宋" w:cs="仿宋"/>
          <w:sz w:val="32"/>
          <w:szCs w:val="32"/>
        </w:rPr>
        <w:t>已纳入湖南省十四五规划风电建设计划</w:t>
      </w:r>
      <w:r>
        <w:rPr>
          <w:rFonts w:hint="eastAsia" w:ascii="仿宋" w:hAnsi="仿宋" w:eastAsia="仿宋" w:cs="仿宋"/>
          <w:sz w:val="32"/>
          <w:szCs w:val="32"/>
          <w:lang w:eastAsia="zh-CN"/>
        </w:rPr>
        <w:t>，装机容量</w:t>
      </w:r>
      <w:r>
        <w:rPr>
          <w:rFonts w:hint="eastAsia" w:ascii="仿宋" w:hAnsi="仿宋" w:eastAsia="仿宋" w:cs="仿宋"/>
          <w:sz w:val="32"/>
          <w:szCs w:val="32"/>
          <w:lang w:val="en-US" w:eastAsia="zh-CN"/>
        </w:rPr>
        <w:t>6万kw</w:t>
      </w:r>
      <w:r>
        <w:rPr>
          <w:rFonts w:hint="eastAsia" w:ascii="仿宋" w:hAnsi="仿宋" w:eastAsia="仿宋" w:cs="仿宋"/>
          <w:sz w:val="32"/>
          <w:szCs w:val="32"/>
        </w:rPr>
        <w:t>，</w:t>
      </w:r>
      <w:r>
        <w:rPr>
          <w:rFonts w:hint="eastAsia" w:ascii="仿宋" w:hAnsi="仿宋" w:eastAsia="仿宋" w:cs="仿宋"/>
          <w:sz w:val="32"/>
          <w:szCs w:val="32"/>
          <w:lang w:eastAsia="zh-CN"/>
        </w:rPr>
        <w:t>总投资</w:t>
      </w:r>
      <w:r>
        <w:rPr>
          <w:rFonts w:hint="eastAsia" w:ascii="仿宋" w:hAnsi="仿宋" w:eastAsia="仿宋" w:cs="仿宋"/>
          <w:sz w:val="32"/>
          <w:szCs w:val="32"/>
          <w:lang w:val="en-US" w:eastAsia="zh-CN"/>
        </w:rPr>
        <w:t>2.4亿元。</w:t>
      </w:r>
      <w:r>
        <w:rPr>
          <w:rFonts w:hint="eastAsia" w:ascii="仿宋" w:hAnsi="仿宋" w:eastAsia="仿宋"/>
          <w:sz w:val="32"/>
          <w:szCs w:val="32"/>
        </w:rPr>
        <w:t>绥宁县220kv变电100kw-200kws电化学储能站项目</w:t>
      </w:r>
      <w:r>
        <w:rPr>
          <w:rFonts w:hint="eastAsia" w:ascii="仿宋" w:hAnsi="仿宋" w:eastAsia="仿宋"/>
          <w:sz w:val="32"/>
          <w:szCs w:val="32"/>
          <w:lang w:eastAsia="zh-CN"/>
        </w:rPr>
        <w:t>正在积极申报纳入全省储能计划。秀水水库抽水蓄能项目已开展部分前期工作。</w:t>
      </w:r>
    </w:p>
    <w:p>
      <w:pPr>
        <w:ind w:firstLine="643" w:firstLineChars="200"/>
        <w:rPr>
          <w:rFonts w:ascii="仿宋" w:hAnsi="仿宋" w:eastAsia="仿宋" w:cs="仿宋"/>
          <w:sz w:val="32"/>
          <w:szCs w:val="32"/>
        </w:rPr>
      </w:pPr>
      <w:r>
        <w:rPr>
          <w:rFonts w:hint="eastAsia" w:ascii="仿宋" w:hAnsi="仿宋" w:eastAsia="仿宋"/>
          <w:b/>
          <w:bCs/>
          <w:color w:val="auto"/>
          <w:sz w:val="32"/>
          <w:szCs w:val="32"/>
          <w:lang w:val="en-US" w:eastAsia="zh-CN"/>
        </w:rPr>
        <w:t>（四）</w:t>
      </w:r>
      <w:r>
        <w:rPr>
          <w:rFonts w:hint="eastAsia" w:ascii="仿宋" w:hAnsi="仿宋" w:eastAsia="仿宋" w:cs="仿宋"/>
          <w:b/>
          <w:bCs/>
          <w:color w:val="auto"/>
          <w:sz w:val="32"/>
          <w:szCs w:val="32"/>
          <w:lang w:eastAsia="zh-CN"/>
        </w:rPr>
        <w:t>成绩四：</w:t>
      </w:r>
      <w:r>
        <w:rPr>
          <w:rFonts w:hint="eastAsia" w:ascii="仿宋" w:hAnsi="仿宋" w:eastAsia="仿宋"/>
          <w:b/>
          <w:bCs/>
          <w:color w:val="auto"/>
          <w:sz w:val="32"/>
          <w:szCs w:val="32"/>
          <w:lang w:val="en-US" w:eastAsia="zh-CN"/>
        </w:rPr>
        <w:t>深化“放管服”改革，全力优化营商环境。</w:t>
      </w:r>
      <w:r>
        <w:rPr>
          <w:rFonts w:hint="eastAsia" w:ascii="仿宋" w:hAnsi="仿宋" w:eastAsia="仿宋" w:cs="仿宋"/>
          <w:sz w:val="32"/>
          <w:szCs w:val="32"/>
          <w:highlight w:val="none"/>
        </w:rPr>
        <w:t>出台《绥宁县进一步优化营商环境推动高质量发展若干措施》《2022年绥宁县持续优化营商环境助推高质量发展实施方案》《绥宁县优化营商环境促进市场主体高质量发展实施方案（2022-2025年）》等系列文件，</w:t>
      </w:r>
      <w:r>
        <w:rPr>
          <w:rFonts w:hint="eastAsia" w:ascii="仿宋" w:hAnsi="仿宋" w:eastAsia="仿宋" w:cs="仿宋"/>
          <w:sz w:val="32"/>
          <w:szCs w:val="32"/>
          <w:highlight w:val="none"/>
          <w:lang w:eastAsia="zh-CN"/>
        </w:rPr>
        <w:t>综合推进</w:t>
      </w:r>
      <w:r>
        <w:rPr>
          <w:rFonts w:hint="eastAsia" w:ascii="仿宋" w:hAnsi="仿宋" w:eastAsia="仿宋" w:cs="仿宋"/>
          <w:sz w:val="32"/>
          <w:szCs w:val="32"/>
          <w:highlight w:val="none"/>
        </w:rPr>
        <w:t>政务服务提升、项目审批提速、经营成本减负、市场环境提质等提质攻坚行动</w:t>
      </w:r>
      <w:r>
        <w:rPr>
          <w:rFonts w:hint="eastAsia" w:ascii="仿宋" w:hAnsi="仿宋" w:eastAsia="仿宋" w:cs="仿宋"/>
          <w:sz w:val="32"/>
          <w:szCs w:val="32"/>
          <w:highlight w:val="none"/>
          <w:lang w:eastAsia="zh-CN"/>
        </w:rPr>
        <w:t>。利用好市优化办开展的上半年营商环境评价反馈问题、市审计局重大政策跟踪审计反馈问题、县人大开展《营商环境条例》执法检查万名干部联万企“送政策、解难题、优服务”行动收集问题等整改落实机遇，下大力气做好</w:t>
      </w:r>
      <w:r>
        <w:rPr>
          <w:rFonts w:hint="eastAsia" w:ascii="仿宋" w:hAnsi="仿宋" w:eastAsia="仿宋" w:cs="仿宋"/>
          <w:sz w:val="32"/>
          <w:szCs w:val="32"/>
        </w:rPr>
        <w:t>“放管服”改革政策落实</w:t>
      </w:r>
      <w:r>
        <w:rPr>
          <w:rFonts w:hint="eastAsia" w:ascii="仿宋" w:hAnsi="仿宋" w:eastAsia="仿宋" w:cs="仿宋"/>
          <w:sz w:val="32"/>
          <w:szCs w:val="32"/>
          <w:lang w:eastAsia="zh-CN"/>
        </w:rPr>
        <w:t>、</w:t>
      </w:r>
      <w:r>
        <w:rPr>
          <w:rFonts w:hint="eastAsia" w:ascii="仿宋" w:hAnsi="仿宋" w:eastAsia="仿宋" w:cs="仿宋"/>
          <w:sz w:val="32"/>
          <w:szCs w:val="32"/>
        </w:rPr>
        <w:t>助力企业纾困增效减税降费</w:t>
      </w:r>
      <w:r>
        <w:rPr>
          <w:rFonts w:hint="eastAsia" w:ascii="仿宋" w:hAnsi="仿宋" w:eastAsia="仿宋" w:cs="仿宋"/>
          <w:sz w:val="32"/>
          <w:szCs w:val="32"/>
          <w:lang w:eastAsia="zh-CN"/>
        </w:rPr>
        <w:t>等</w:t>
      </w:r>
      <w:r>
        <w:rPr>
          <w:rFonts w:hint="eastAsia" w:ascii="仿宋" w:hAnsi="仿宋" w:eastAsia="仿宋" w:cs="仿宋"/>
          <w:b w:val="0"/>
          <w:bCs w:val="0"/>
          <w:sz w:val="32"/>
          <w:szCs w:val="32"/>
          <w:lang w:val="en-US" w:eastAsia="zh-CN"/>
        </w:rPr>
        <w:t>4个方面的问题和企业开办、办理建筑许可等12个考核评价指标</w:t>
      </w:r>
      <w:r>
        <w:rPr>
          <w:rFonts w:hint="eastAsia" w:ascii="仿宋" w:hAnsi="仿宋" w:eastAsia="仿宋" w:cs="仿宋"/>
          <w:sz w:val="32"/>
          <w:szCs w:val="32"/>
          <w:highlight w:val="none"/>
          <w:lang w:val="en-US" w:eastAsia="zh-CN"/>
        </w:rPr>
        <w:t>存在问题的全面整改和落实。开展单位行政许可事项梳理，我县共有项目可研审批、政府投资项目概算审批等行政许可事项8件。</w:t>
      </w:r>
      <w:r>
        <w:rPr>
          <w:rFonts w:hint="eastAsia" w:ascii="Times New Roman" w:hAnsi="Times New Roman" w:eastAsia="仿宋_GB2312"/>
          <w:sz w:val="32"/>
          <w:szCs w:val="32"/>
          <w:lang w:val="en-US" w:eastAsia="zh-CN" w:bidi="ar"/>
        </w:rPr>
        <w:t>组织全县</w:t>
      </w:r>
      <w:r>
        <w:rPr>
          <w:rFonts w:hint="eastAsia" w:ascii="仿宋" w:hAnsi="仿宋" w:eastAsia="仿宋" w:cs="仿宋"/>
          <w:sz w:val="32"/>
          <w:szCs w:val="32"/>
          <w:lang w:val="en-US" w:eastAsia="zh-CN" w:bidi="ar"/>
        </w:rPr>
        <w:t>30名县级领导和40名联企干部倾力帮扶</w:t>
      </w:r>
      <w:r>
        <w:rPr>
          <w:rFonts w:hint="eastAsia" w:ascii="Times New Roman" w:hAnsi="Times New Roman" w:eastAsia="仿宋_GB2312"/>
          <w:sz w:val="32"/>
          <w:szCs w:val="32"/>
          <w:lang w:val="en-US" w:eastAsia="zh-CN" w:bidi="ar"/>
        </w:rPr>
        <w:t>196家“四上”企业及规下企业，</w:t>
      </w:r>
      <w:r>
        <w:rPr>
          <w:rFonts w:hint="eastAsia" w:ascii="仿宋" w:hAnsi="仿宋" w:eastAsia="仿宋" w:cs="仿宋"/>
          <w:sz w:val="32"/>
          <w:szCs w:val="32"/>
        </w:rPr>
        <w:t>收集</w:t>
      </w:r>
      <w:r>
        <w:rPr>
          <w:rFonts w:hint="eastAsia" w:ascii="仿宋" w:hAnsi="仿宋" w:eastAsia="仿宋" w:cs="仿宋"/>
          <w:sz w:val="32"/>
          <w:szCs w:val="32"/>
          <w:lang w:eastAsia="zh-CN"/>
        </w:rPr>
        <w:t>并解决</w:t>
      </w:r>
      <w:r>
        <w:rPr>
          <w:rFonts w:hint="eastAsia" w:ascii="仿宋" w:hAnsi="仿宋" w:eastAsia="仿宋" w:cs="仿宋"/>
          <w:sz w:val="32"/>
          <w:szCs w:val="32"/>
        </w:rPr>
        <w:t>企业反馈</w:t>
      </w:r>
      <w:r>
        <w:rPr>
          <w:rFonts w:hint="eastAsia" w:ascii="仿宋" w:hAnsi="仿宋" w:eastAsia="仿宋" w:cs="仿宋"/>
          <w:sz w:val="32"/>
          <w:szCs w:val="32"/>
          <w:lang w:eastAsia="zh-CN"/>
        </w:rPr>
        <w:t>的</w:t>
      </w:r>
      <w:r>
        <w:rPr>
          <w:rFonts w:hint="eastAsia" w:ascii="仿宋" w:hAnsi="仿宋" w:eastAsia="仿宋" w:cs="仿宋"/>
          <w:sz w:val="32"/>
          <w:szCs w:val="32"/>
        </w:rPr>
        <w:t>资金、人才用工、用地、政策兑现</w:t>
      </w:r>
      <w:r>
        <w:rPr>
          <w:rFonts w:hint="eastAsia" w:ascii="仿宋" w:hAnsi="仿宋" w:eastAsia="仿宋" w:cs="仿宋"/>
          <w:sz w:val="32"/>
          <w:szCs w:val="32"/>
          <w:lang w:eastAsia="zh-CN"/>
        </w:rPr>
        <w:t>、复工复产</w:t>
      </w:r>
      <w:r>
        <w:rPr>
          <w:rFonts w:hint="eastAsia" w:ascii="仿宋" w:hAnsi="仿宋" w:eastAsia="仿宋" w:cs="仿宋"/>
          <w:sz w:val="32"/>
          <w:szCs w:val="32"/>
        </w:rPr>
        <w:t>等问题</w:t>
      </w:r>
      <w:r>
        <w:rPr>
          <w:rFonts w:hint="eastAsia" w:ascii="仿宋" w:hAnsi="仿宋" w:eastAsia="仿宋" w:cs="仿宋"/>
          <w:sz w:val="32"/>
          <w:szCs w:val="32"/>
          <w:lang w:eastAsia="zh-CN"/>
        </w:rPr>
        <w:t>。</w:t>
      </w:r>
      <w:r>
        <w:rPr>
          <w:rFonts w:hint="eastAsia" w:ascii="仿宋" w:hAnsi="仿宋" w:eastAsia="仿宋" w:cs="楷体"/>
          <w:b w:val="0"/>
          <w:bCs w:val="0"/>
          <w:sz w:val="32"/>
          <w:szCs w:val="32"/>
          <w:lang w:val="en-US" w:eastAsia="zh-CN"/>
        </w:rPr>
        <w:t>受理企业投诉方面，完成市优化办转发的湖南兴隆农林牧业有限公司原负责人孙俭对产业开发区收回其厂房的投诉办理。</w:t>
      </w:r>
      <w:r>
        <w:rPr>
          <w:rFonts w:hint="eastAsia" w:ascii="仿宋" w:hAnsi="仿宋" w:eastAsia="仿宋" w:cs="仿宋"/>
          <w:sz w:val="32"/>
          <w:szCs w:val="32"/>
          <w:lang w:eastAsia="zh-CN"/>
        </w:rPr>
        <w:t>继续深化”放管服“改革，在重点项目审批中推行容缺受理、承诺告知等机制，建立重大项目审批“绿色通道”，提速审批项目可研、概算等许可事项。</w:t>
      </w:r>
      <w:r>
        <w:rPr>
          <w:rFonts w:hint="eastAsia" w:ascii="仿宋" w:hAnsi="仿宋" w:eastAsia="仿宋" w:cs="仿宋"/>
          <w:kern w:val="2"/>
          <w:sz w:val="32"/>
          <w:szCs w:val="32"/>
          <w:lang w:val="en-US" w:eastAsia="zh-CN" w:bidi="ar-SA"/>
        </w:rPr>
        <w:t>规范县招标办办事程序，实行层层审批把关。为进一步规范招投标市场，加强对招标代理机构及招标公告、招标文件管理及招标活动全过程监管，严格依法打击“打牌子”、“肢解分包”、转包等违法行为。进一步规范政府投资项目概算管理，严控投资项目超概算。</w:t>
      </w:r>
      <w:r>
        <w:rPr>
          <w:rFonts w:hint="eastAsia" w:ascii="仿宋" w:hAnsi="仿宋" w:eastAsia="仿宋" w:cs="仿宋"/>
          <w:sz w:val="32"/>
          <w:szCs w:val="32"/>
        </w:rPr>
        <w:t>加强信用信息归集共享，</w:t>
      </w:r>
      <w:r>
        <w:rPr>
          <w:rFonts w:hint="eastAsia" w:ascii="仿宋_GB2312" w:eastAsia="仿宋_GB2312"/>
          <w:sz w:val="32"/>
          <w:szCs w:val="32"/>
        </w:rPr>
        <w:t>推动信用在政务服务领域的应用，健全守信激励机制</w:t>
      </w:r>
      <w:r>
        <w:rPr>
          <w:rFonts w:hint="eastAsia" w:ascii="仿宋_GB2312" w:eastAsia="仿宋_GB2312"/>
          <w:sz w:val="32"/>
          <w:szCs w:val="32"/>
          <w:lang w:eastAsia="zh-CN"/>
        </w:rPr>
        <w:t>，积极开展信用修复</w:t>
      </w:r>
      <w:r>
        <w:rPr>
          <w:rFonts w:hint="eastAsia" w:ascii="仿宋_GB2312" w:eastAsia="仿宋_GB2312"/>
          <w:sz w:val="32"/>
          <w:szCs w:val="32"/>
        </w:rPr>
        <w:t>。</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（五）成绩五：</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加快推进制造业高质量发展。</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强化动力算力支撑和高端产业引领，利用好中小企业专项、制造强省专项等扶持手段，支持企业应用新技术、新工艺、新设备、新模式。加大技术改造和数字化改造，做强做大楠竹新材料、特色农产品加工等特色产业。向</w:t>
      </w:r>
      <w:r>
        <w:rPr>
          <w:rFonts w:hint="eastAsia" w:ascii="仿宋" w:hAnsi="仿宋" w:eastAsia="仿宋" w:cs="仿宋"/>
          <w:color w:val="000000" w:themeColor="text1"/>
          <w:sz w:val="32"/>
          <w:szCs w:val="32"/>
          <w:highlight w:val="none"/>
          <w:lang w:val="en-US" w:eastAsia="zh-CN"/>
          <w14:textFill>
            <w14:solidFill>
              <w14:schemeClr w14:val="tx1"/>
            </w14:solidFill>
          </w14:textFill>
        </w:rPr>
        <w:t>省、市工业部门申报了3个省中小企业发展专项和4个制造强省专项，组织中集、佰龙、合力铁矿、银山等企业申报2021年度的技术改造税收增量奖补资金，共获得中小企业技改扶持资金317万元。引导企业走专精特新道路，重发明创造和品牌建设，</w:t>
      </w:r>
      <w:r>
        <w:rPr>
          <w:rFonts w:hint="eastAsia" w:ascii="仿宋" w:hAnsi="仿宋" w:eastAsia="仿宋" w:cs="仿宋"/>
          <w:color w:val="000000"/>
          <w:sz w:val="32"/>
          <w:szCs w:val="32"/>
          <w:lang w:val="en-US" w:eastAsia="zh-CN"/>
        </w:rPr>
        <w:t>2022年成功申报了4家市级“小巨人”企业（中集新材料、湖南九通、特沃斯、吉升纸板），3家省级“小巨人”企业（湖南九通、特沃斯、吉升纸板），绿洲惠康申报为省级企业技术中心和省制造业数字化转型“三化”重点项目。加大算力基础设施建设，5G站点建设方面，至11月底累计完成165个，其中电信公司完成35个，移动公司完成130个，完成率为201.23%。</w:t>
      </w:r>
      <w:r>
        <w:rPr>
          <w:rFonts w:hint="eastAsia" w:ascii="仿宋" w:hAnsi="仿宋" w:eastAsia="仿宋" w:cs="仿宋"/>
          <w:sz w:val="32"/>
          <w:szCs w:val="32"/>
        </w:rPr>
        <w:t>建成千兆光网</w:t>
      </w:r>
      <w:r>
        <w:rPr>
          <w:rFonts w:hint="eastAsia" w:ascii="仿宋" w:hAnsi="仿宋" w:eastAsia="仿宋" w:cs="仿宋"/>
          <w:sz w:val="32"/>
          <w:szCs w:val="32"/>
          <w:lang w:val="en-US" w:eastAsia="zh-CN"/>
        </w:rPr>
        <w:t>4843户，其中移动969户、电信2774户、联通1100户。</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600" w:lineRule="exact"/>
        <w:ind w:right="0" w:rightChars="0" w:firstLine="643" w:firstLineChars="200"/>
        <w:jc w:val="both"/>
        <w:textAlignment w:val="auto"/>
        <w:rPr>
          <w:rFonts w:hint="eastAsia" w:ascii="仿宋" w:hAnsi="仿宋" w:eastAsia="仿宋" w:cs="仿宋"/>
          <w:color w:val="000000"/>
          <w:kern w:val="2"/>
          <w:sz w:val="32"/>
          <w:szCs w:val="32"/>
          <w:highlight w:val="none"/>
          <w:lang w:val="en-US" w:eastAsia="zh-CN" w:bidi="ar"/>
        </w:rPr>
      </w:pPr>
      <w:r>
        <w:rPr>
          <w:rFonts w:hint="eastAsia" w:ascii="仿宋" w:hAnsi="仿宋" w:eastAsia="仿宋" w:cs="仿宋"/>
          <w:b/>
          <w:bCs/>
          <w:kern w:val="2"/>
          <w:sz w:val="32"/>
          <w:szCs w:val="32"/>
          <w:highlight w:val="none"/>
          <w:lang w:val="en-US" w:eastAsia="zh-CN"/>
        </w:rPr>
        <w:t>（六）</w:t>
      </w:r>
      <w:r>
        <w:rPr>
          <w:rFonts w:hint="eastAsia" w:ascii="仿宋" w:hAnsi="仿宋" w:eastAsia="仿宋" w:cs="仿宋"/>
          <w:b/>
          <w:bCs/>
          <w:color w:val="auto"/>
          <w:sz w:val="32"/>
          <w:szCs w:val="32"/>
          <w:lang w:eastAsia="zh-CN"/>
        </w:rPr>
        <w:t>成绩六：</w:t>
      </w:r>
      <w:r>
        <w:rPr>
          <w:rFonts w:hint="eastAsia" w:ascii="仿宋" w:hAnsi="仿宋" w:eastAsia="仿宋" w:cs="仿宋"/>
          <w:b/>
          <w:bCs/>
          <w:kern w:val="2"/>
          <w:sz w:val="32"/>
          <w:szCs w:val="32"/>
          <w:highlight w:val="none"/>
          <w:lang w:val="en-US" w:eastAsia="zh-CN"/>
        </w:rPr>
        <w:t>加快推进</w:t>
      </w:r>
      <w:r>
        <w:rPr>
          <w:rStyle w:val="9"/>
          <w:rFonts w:hint="eastAsia" w:ascii="仿宋" w:hAnsi="仿宋" w:eastAsia="仿宋" w:cs="仿宋"/>
          <w:b/>
          <w:bCs/>
          <w:color w:val="000000"/>
          <w:sz w:val="32"/>
          <w:szCs w:val="32"/>
          <w:highlight w:val="none"/>
          <w:lang w:eastAsia="zh-CN"/>
        </w:rPr>
        <w:t>科技创新发展。</w:t>
      </w:r>
      <w:r>
        <w:rPr>
          <w:rFonts w:hint="eastAsia" w:ascii="仿宋" w:hAnsi="仿宋" w:eastAsia="仿宋" w:cs="仿宋"/>
          <w:color w:val="000000"/>
          <w:kern w:val="2"/>
          <w:sz w:val="32"/>
          <w:szCs w:val="32"/>
          <w:highlight w:val="none"/>
          <w:lang w:val="en-US" w:eastAsia="zh-CN" w:bidi="ar"/>
        </w:rPr>
        <w:t>深入实施创新驱动发展战略，切实推进全县加大研发投入行动，申报了科技创新项目2个，省科技特派员“三区”科技人才项目5个，普惠性政策与创新环境建设计划-新型研发机构1个（中集工程技术研究中心），中央引导地方科技发展-科技成果转移转化1个，</w:t>
      </w:r>
      <w:r>
        <w:rPr>
          <w:rFonts w:hint="eastAsia" w:ascii="宋体" w:hAnsi="宋体" w:eastAsia="仿宋" w:cs="宋体"/>
          <w:color w:val="000000"/>
          <w:sz w:val="30"/>
          <w:szCs w:val="30"/>
          <w:lang w:val="en-US" w:eastAsia="zh-CN"/>
        </w:rPr>
        <w:t>“食小甘星创天地”</w:t>
      </w:r>
      <w:r>
        <w:rPr>
          <w:rFonts w:hint="eastAsia" w:eastAsia="仿宋_GB2312" w:cs="仿宋_GB2312"/>
          <w:color w:val="000000"/>
          <w:sz w:val="30"/>
          <w:szCs w:val="30"/>
          <w:lang w:eastAsia="zh-CN"/>
        </w:rPr>
        <w:t>吸收</w:t>
      </w:r>
      <w:r>
        <w:rPr>
          <w:rFonts w:hint="eastAsia" w:eastAsia="仿宋_GB2312" w:cs="仿宋_GB2312"/>
          <w:color w:val="000000"/>
          <w:sz w:val="30"/>
          <w:szCs w:val="30"/>
        </w:rPr>
        <w:t>了</w:t>
      </w:r>
      <w:r>
        <w:rPr>
          <w:rFonts w:eastAsia="仿宋_GB2312" w:cs="仿宋_GB2312"/>
          <w:color w:val="000000"/>
          <w:sz w:val="30"/>
          <w:szCs w:val="30"/>
        </w:rPr>
        <w:t>14</w:t>
      </w:r>
      <w:r>
        <w:rPr>
          <w:rFonts w:hint="eastAsia" w:eastAsia="仿宋_GB2312" w:cs="仿宋_GB2312"/>
          <w:color w:val="000000"/>
          <w:sz w:val="30"/>
          <w:szCs w:val="30"/>
        </w:rPr>
        <w:t>家企业直接入驻</w:t>
      </w:r>
      <w:r>
        <w:rPr>
          <w:rFonts w:hint="eastAsia" w:eastAsia="仿宋_GB2312" w:cs="仿宋_GB2312"/>
          <w:color w:val="000000"/>
          <w:sz w:val="30"/>
          <w:szCs w:val="30"/>
          <w:lang w:eastAsia="zh-CN"/>
        </w:rPr>
        <w:t>。</w:t>
      </w:r>
      <w:r>
        <w:rPr>
          <w:rFonts w:hint="eastAsia" w:ascii="仿宋" w:hAnsi="仿宋" w:eastAsia="仿宋" w:cs="仿宋"/>
          <w:color w:val="000000"/>
          <w:kern w:val="2"/>
          <w:sz w:val="32"/>
          <w:szCs w:val="32"/>
          <w:highlight w:val="none"/>
          <w:lang w:val="en-US" w:eastAsia="zh-CN" w:bidi="ar"/>
        </w:rPr>
        <w:t>组织丰源体育公司、惠康公司、吉升工业纸板公司、佰龙竹木公司、神农金康公司等10家高新技术企业完成火炬统计年报工作。</w:t>
      </w:r>
      <w:r>
        <w:rPr>
          <w:rFonts w:hint="eastAsia" w:ascii="仿宋" w:hAnsi="仿宋" w:eastAsia="仿宋" w:cs="仿宋"/>
          <w:sz w:val="32"/>
          <w:szCs w:val="32"/>
          <w:lang w:eastAsia="zh-CN"/>
        </w:rPr>
        <w:t>加大高新技术企业培育，</w:t>
      </w:r>
      <w:r>
        <w:rPr>
          <w:rFonts w:hint="eastAsia" w:ascii="仿宋" w:hAnsi="仿宋" w:eastAsia="仿宋" w:cs="仿宋"/>
          <w:sz w:val="32"/>
          <w:szCs w:val="32"/>
          <w:lang w:val="en-US" w:eastAsia="zh-CN"/>
        </w:rPr>
        <w:t>2022年市定目标任务是</w:t>
      </w:r>
      <w:r>
        <w:rPr>
          <w:rFonts w:hint="eastAsia" w:ascii="仿宋" w:hAnsi="仿宋" w:eastAsia="仿宋" w:cs="仿宋"/>
          <w:b w:val="0"/>
          <w:bCs w:val="0"/>
          <w:kern w:val="2"/>
          <w:sz w:val="32"/>
          <w:szCs w:val="32"/>
          <w:highlight w:val="none"/>
          <w:lang w:val="en-US" w:eastAsia="zh-CN" w:bidi="ar-SA"/>
        </w:rPr>
        <w:t>全年任务</w:t>
      </w:r>
      <w:r>
        <w:rPr>
          <w:rFonts w:hint="eastAsia" w:ascii="仿宋" w:hAnsi="仿宋" w:eastAsia="仿宋" w:cs="仿宋"/>
          <w:b w:val="0"/>
          <w:bCs w:val="0"/>
          <w:sz w:val="32"/>
          <w:szCs w:val="32"/>
          <w:lang w:val="en-US" w:eastAsia="zh-CN"/>
        </w:rPr>
        <w:t>引进、培育共7家</w:t>
      </w:r>
      <w:r>
        <w:rPr>
          <w:rFonts w:hint="eastAsia" w:ascii="仿宋" w:hAnsi="仿宋" w:eastAsia="仿宋" w:cs="仿宋"/>
          <w:sz w:val="32"/>
          <w:szCs w:val="32"/>
          <w:lang w:val="en-US" w:eastAsia="zh-CN"/>
        </w:rPr>
        <w:t>，截止11月底，已4家企业申报高新技术企业（资料已申报到省厅），引进3家企业，</w:t>
      </w:r>
      <w:r>
        <w:rPr>
          <w:rFonts w:ascii="仿宋" w:hAnsi="仿宋" w:eastAsia="仿宋"/>
          <w:color w:val="000000"/>
          <w:sz w:val="30"/>
          <w:szCs w:val="30"/>
        </w:rPr>
        <w:t>高新技术企业</w:t>
      </w:r>
      <w:r>
        <w:rPr>
          <w:rFonts w:hint="eastAsia" w:ascii="仿宋" w:hAnsi="仿宋" w:eastAsia="仿宋"/>
          <w:color w:val="000000"/>
          <w:sz w:val="30"/>
          <w:szCs w:val="30"/>
          <w:lang w:eastAsia="zh-CN"/>
        </w:rPr>
        <w:t>预计可以达到</w:t>
      </w:r>
      <w:r>
        <w:rPr>
          <w:rFonts w:hint="eastAsia" w:ascii="仿宋" w:hAnsi="仿宋" w:eastAsia="仿宋"/>
          <w:color w:val="000000"/>
          <w:sz w:val="30"/>
          <w:szCs w:val="30"/>
          <w:lang w:val="en-US" w:eastAsia="zh-CN"/>
        </w:rPr>
        <w:t>19</w:t>
      </w:r>
      <w:r>
        <w:rPr>
          <w:rFonts w:ascii="仿宋" w:hAnsi="仿宋" w:eastAsia="仿宋"/>
          <w:color w:val="000000"/>
          <w:sz w:val="30"/>
          <w:szCs w:val="30"/>
        </w:rPr>
        <w:t>家，</w:t>
      </w:r>
      <w:r>
        <w:rPr>
          <w:rFonts w:hint="eastAsia" w:ascii="仿宋" w:hAnsi="仿宋" w:eastAsia="仿宋"/>
          <w:color w:val="000000"/>
          <w:sz w:val="30"/>
          <w:szCs w:val="30"/>
          <w:lang w:eastAsia="zh-CN"/>
        </w:rPr>
        <w:t>科技型企业可以达到</w:t>
      </w:r>
      <w:r>
        <w:rPr>
          <w:rFonts w:hint="eastAsia" w:ascii="仿宋" w:hAnsi="仿宋" w:eastAsia="仿宋"/>
          <w:color w:val="000000"/>
          <w:sz w:val="30"/>
          <w:szCs w:val="30"/>
          <w:lang w:val="en-US" w:eastAsia="zh-CN"/>
        </w:rPr>
        <w:t>29家。截止11</w:t>
      </w:r>
      <w:r>
        <w:rPr>
          <w:rFonts w:hint="eastAsia" w:ascii="仿宋" w:hAnsi="仿宋" w:eastAsia="仿宋"/>
          <w:color w:val="000000"/>
          <w:sz w:val="30"/>
          <w:szCs w:val="30"/>
          <w:highlight w:val="none"/>
          <w:lang w:val="en-US" w:eastAsia="zh-CN"/>
        </w:rPr>
        <w:t>月</w:t>
      </w:r>
      <w:r>
        <w:rPr>
          <w:rFonts w:hint="eastAsia" w:ascii="仿宋" w:hAnsi="仿宋" w:eastAsia="仿宋"/>
          <w:color w:val="000000"/>
          <w:sz w:val="30"/>
          <w:szCs w:val="30"/>
          <w:highlight w:val="none"/>
          <w:lang w:eastAsia="zh-CN"/>
        </w:rPr>
        <w:t>完成技术合同交易数</w:t>
      </w:r>
      <w:r>
        <w:rPr>
          <w:rFonts w:hint="eastAsia" w:ascii="仿宋" w:hAnsi="仿宋" w:eastAsia="仿宋"/>
          <w:color w:val="000000"/>
          <w:sz w:val="30"/>
          <w:szCs w:val="30"/>
          <w:highlight w:val="none"/>
          <w:lang w:val="en-US" w:eastAsia="zh-CN"/>
        </w:rPr>
        <w:t>23个，交易金</w:t>
      </w:r>
      <w:r>
        <w:rPr>
          <w:rFonts w:hint="eastAsia" w:ascii="仿宋" w:hAnsi="仿宋" w:eastAsia="仿宋"/>
          <w:color w:val="000000"/>
          <w:sz w:val="30"/>
          <w:szCs w:val="30"/>
          <w:highlight w:val="none"/>
          <w:lang w:eastAsia="zh-CN"/>
        </w:rPr>
        <w:t>额</w:t>
      </w:r>
      <w:r>
        <w:rPr>
          <w:rFonts w:hint="eastAsia" w:ascii="仿宋" w:hAnsi="仿宋" w:eastAsia="仿宋"/>
          <w:color w:val="000000"/>
          <w:sz w:val="30"/>
          <w:szCs w:val="30"/>
          <w:highlight w:val="none"/>
          <w:lang w:val="en-US" w:eastAsia="zh-CN"/>
        </w:rPr>
        <w:t>2.48亿元，完</w:t>
      </w:r>
      <w:r>
        <w:rPr>
          <w:rFonts w:hint="eastAsia" w:ascii="仿宋" w:hAnsi="仿宋" w:eastAsia="仿宋"/>
          <w:color w:val="000000"/>
          <w:sz w:val="30"/>
          <w:szCs w:val="30"/>
          <w:lang w:val="en-US" w:eastAsia="zh-CN"/>
        </w:rPr>
        <w:t>成地方科技创新研发经费投入3.9亿元。完成科技型中小企业入库42家。</w:t>
      </w:r>
      <w:r>
        <w:rPr>
          <w:rFonts w:hint="eastAsia" w:ascii="仿宋" w:hAnsi="仿宋" w:eastAsia="仿宋" w:cs="仿宋"/>
          <w:color w:val="000000"/>
          <w:kern w:val="2"/>
          <w:sz w:val="32"/>
          <w:szCs w:val="32"/>
          <w:highlight w:val="none"/>
          <w:lang w:val="en-US" w:eastAsia="zh-CN" w:bidi="ar"/>
        </w:rPr>
        <w:t>完成</w:t>
      </w:r>
      <w:r>
        <w:rPr>
          <w:rFonts w:hint="eastAsia" w:ascii="仿宋" w:hAnsi="仿宋" w:eastAsia="仿宋" w:cs="仿宋"/>
          <w:b w:val="0"/>
          <w:bCs w:val="0"/>
          <w:sz w:val="32"/>
          <w:szCs w:val="32"/>
          <w:highlight w:val="none"/>
        </w:rPr>
        <w:t>规模以上工业企业中</w:t>
      </w:r>
      <w:r>
        <w:rPr>
          <w:rFonts w:hint="eastAsia" w:ascii="仿宋" w:hAnsi="仿宋" w:eastAsia="仿宋" w:cs="仿宋"/>
          <w:b w:val="0"/>
          <w:bCs w:val="0"/>
          <w:sz w:val="32"/>
          <w:szCs w:val="32"/>
          <w:highlight w:val="none"/>
          <w:lang w:eastAsia="zh-CN"/>
        </w:rPr>
        <w:t>有</w:t>
      </w:r>
      <w:r>
        <w:rPr>
          <w:rFonts w:hint="eastAsia" w:ascii="仿宋" w:hAnsi="仿宋" w:eastAsia="仿宋" w:cs="仿宋"/>
          <w:b w:val="0"/>
          <w:bCs w:val="0"/>
          <w:sz w:val="32"/>
          <w:szCs w:val="32"/>
          <w:highlight w:val="none"/>
        </w:rPr>
        <w:t>研发活动企业数完成研发报统企业</w:t>
      </w:r>
      <w:r>
        <w:rPr>
          <w:rFonts w:hint="eastAsia" w:ascii="仿宋" w:hAnsi="仿宋" w:eastAsia="仿宋" w:cs="仿宋"/>
          <w:b w:val="0"/>
          <w:bCs w:val="0"/>
          <w:sz w:val="32"/>
          <w:szCs w:val="32"/>
          <w:highlight w:val="none"/>
          <w:lang w:eastAsia="zh-CN"/>
        </w:rPr>
        <w:t>数</w:t>
      </w:r>
      <w:r>
        <w:rPr>
          <w:rFonts w:hint="eastAsia" w:ascii="仿宋" w:hAnsi="仿宋" w:eastAsia="仿宋" w:cs="仿宋"/>
          <w:b w:val="0"/>
          <w:bCs w:val="0"/>
          <w:sz w:val="32"/>
          <w:szCs w:val="32"/>
          <w:highlight w:val="none"/>
        </w:rPr>
        <w:t>41家</w:t>
      </w:r>
      <w:r>
        <w:rPr>
          <w:rFonts w:hint="eastAsia" w:ascii="仿宋" w:hAnsi="仿宋" w:eastAsia="仿宋" w:cs="仿宋"/>
          <w:b w:val="0"/>
          <w:bCs w:val="0"/>
          <w:sz w:val="32"/>
          <w:szCs w:val="32"/>
          <w:highlight w:val="none"/>
          <w:lang w:eastAsia="zh-CN"/>
        </w:rPr>
        <w:t>，超出任务数</w:t>
      </w:r>
      <w:r>
        <w:rPr>
          <w:rFonts w:hint="eastAsia" w:ascii="仿宋" w:hAnsi="仿宋" w:eastAsia="仿宋" w:cs="仿宋"/>
          <w:b w:val="0"/>
          <w:bCs w:val="0"/>
          <w:sz w:val="32"/>
          <w:szCs w:val="32"/>
          <w:highlight w:val="none"/>
          <w:lang w:val="en-US" w:eastAsia="zh-CN"/>
        </w:rPr>
        <w:t>1家。</w:t>
      </w:r>
      <w:r>
        <w:rPr>
          <w:rFonts w:hint="eastAsia" w:ascii="仿宋" w:hAnsi="仿宋" w:eastAsia="仿宋" w:cs="仿宋"/>
          <w:color w:val="000000"/>
          <w:kern w:val="2"/>
          <w:sz w:val="32"/>
          <w:szCs w:val="32"/>
          <w:highlight w:val="none"/>
          <w:lang w:val="en-US" w:eastAsia="zh-CN" w:bidi="ar"/>
        </w:rPr>
        <w:t>组织申报企业研发财政奖补资金共计22.285万元（分别是银山竹业公司6.48万元、湖南中集新材料公司14.612万元、特沃斯生态科技公司1.193万元）。6月组织银山公司、百鼎公司、广江生物科技公司3家企业代表绥宁县参加市科技创新创业大赛，百鼎科技、湖南银山分别获得二等奖和三等奖。11月组织百鼎科技参加2022年湖南省创新创业大赛荣获优秀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Times New Roman" w:hAnsi="Times New Roman" w:eastAsia="仿宋" w:cs="Times New Roman"/>
          <w:b/>
          <w:bCs/>
          <w:color w:val="000000"/>
          <w:sz w:val="32"/>
          <w:szCs w:val="32"/>
          <w:lang w:val="en-US" w:eastAsia="zh-CN"/>
        </w:rPr>
        <w:t>（七）成绩七：</w:t>
      </w:r>
      <w:r>
        <w:rPr>
          <w:rFonts w:hint="default" w:ascii="Times New Roman" w:hAnsi="Times New Roman" w:eastAsia="仿宋" w:cs="Times New Roman"/>
          <w:b/>
          <w:bCs/>
          <w:color w:val="000000"/>
          <w:sz w:val="32"/>
          <w:szCs w:val="32"/>
          <w:lang w:val="en-US" w:eastAsia="zh-CN"/>
        </w:rPr>
        <w:t>加强市场价格监测</w:t>
      </w:r>
      <w:r>
        <w:rPr>
          <w:rFonts w:hint="eastAsia" w:ascii="Times New Roman" w:hAnsi="Times New Roman" w:eastAsia="仿宋" w:cs="Times New Roman"/>
          <w:b/>
          <w:bCs/>
          <w:color w:val="000000"/>
          <w:sz w:val="32"/>
          <w:szCs w:val="32"/>
          <w:lang w:val="en-US" w:eastAsia="zh-CN"/>
        </w:rPr>
        <w:t>和</w:t>
      </w:r>
      <w:r>
        <w:rPr>
          <w:rFonts w:hint="default" w:ascii="Times New Roman" w:hAnsi="Times New Roman" w:eastAsia="仿宋" w:cs="Times New Roman"/>
          <w:b/>
          <w:bCs/>
          <w:color w:val="000000"/>
          <w:sz w:val="32"/>
          <w:szCs w:val="32"/>
          <w:lang w:val="en-US" w:eastAsia="zh-CN"/>
        </w:rPr>
        <w:t>收费管</w:t>
      </w:r>
      <w:r>
        <w:rPr>
          <w:rFonts w:hint="eastAsia" w:ascii="Times New Roman" w:hAnsi="Times New Roman" w:eastAsia="仿宋" w:cs="Times New Roman"/>
          <w:b/>
          <w:bCs/>
          <w:color w:val="000000"/>
          <w:sz w:val="32"/>
          <w:szCs w:val="32"/>
          <w:lang w:val="en-US" w:eastAsia="zh-CN"/>
        </w:rPr>
        <w:t>理。</w:t>
      </w:r>
      <w:r>
        <w:rPr>
          <w:rFonts w:hint="eastAsia" w:ascii="仿宋" w:hAnsi="仿宋" w:eastAsia="仿宋" w:cs="仿宋"/>
          <w:b w:val="0"/>
          <w:bCs w:val="0"/>
          <w:kern w:val="2"/>
          <w:sz w:val="32"/>
          <w:szCs w:val="32"/>
          <w:highlight w:val="none"/>
          <w:lang w:val="en-US" w:eastAsia="zh-CN" w:bidi="ar"/>
        </w:rPr>
        <w:t>落实收费、降费减负政策，</w:t>
      </w:r>
      <w:r>
        <w:rPr>
          <w:rFonts w:hint="eastAsia" w:ascii="仿宋" w:hAnsi="仿宋" w:eastAsia="仿宋" w:cs="仿宋"/>
          <w:b w:val="0"/>
          <w:bCs w:val="0"/>
          <w:color w:val="000000"/>
          <w:kern w:val="2"/>
          <w:sz w:val="32"/>
          <w:szCs w:val="32"/>
          <w:highlight w:val="none"/>
          <w:lang w:val="en-US" w:eastAsia="zh-CN" w:bidi="ar"/>
        </w:rPr>
        <w:t>规范市场各类价格管理，</w:t>
      </w:r>
      <w:r>
        <w:rPr>
          <w:rFonts w:hint="eastAsia" w:ascii="仿宋" w:hAnsi="仿宋" w:eastAsia="仿宋" w:cs="仿宋"/>
          <w:kern w:val="2"/>
          <w:sz w:val="32"/>
          <w:szCs w:val="32"/>
          <w:highlight w:val="none"/>
          <w:lang w:val="en-US" w:eastAsia="zh-CN" w:bidi="ar"/>
        </w:rPr>
        <w:t>对绥宁魏源康颐养老院自费寄养有偿服务收费标准进行了备案批复，核定了县中医医院内机动车停车服务收费标准；明确了我县出租汽车春节长假期间实行临时加价的政策，进一步</w:t>
      </w:r>
      <w:r>
        <w:rPr>
          <w:rFonts w:hint="eastAsia" w:ascii="仿宋" w:hAnsi="仿宋" w:eastAsia="仿宋"/>
          <w:sz w:val="32"/>
          <w:szCs w:val="32"/>
          <w:highlight w:val="none"/>
        </w:rPr>
        <w:t>明确了出租汽车起步价标准和价外加收燃油附加费标准的政策</w:t>
      </w:r>
      <w:r>
        <w:rPr>
          <w:rFonts w:hint="eastAsia" w:ascii="仿宋" w:hAnsi="仿宋" w:eastAsia="仿宋"/>
          <w:sz w:val="32"/>
          <w:szCs w:val="32"/>
          <w:highlight w:val="none"/>
          <w:lang w:eastAsia="zh-CN"/>
        </w:rPr>
        <w:t>。</w:t>
      </w:r>
      <w:r>
        <w:rPr>
          <w:rFonts w:hint="eastAsia" w:ascii="仿宋" w:hAnsi="仿宋" w:eastAsia="仿宋" w:cs="仿宋"/>
          <w:kern w:val="2"/>
          <w:sz w:val="32"/>
          <w:szCs w:val="32"/>
          <w:highlight w:val="none"/>
          <w:lang w:val="en-US" w:eastAsia="zh-CN" w:bidi="ar"/>
        </w:rPr>
        <w:t>制定了2022年春、秋季教育收费文件和</w:t>
      </w:r>
      <w:r>
        <w:rPr>
          <w:rFonts w:hint="eastAsia" w:ascii="仿宋" w:hAnsi="仿宋" w:eastAsia="仿宋" w:cs="仿宋_GB2312"/>
          <w:kern w:val="0"/>
          <w:sz w:val="32"/>
          <w:szCs w:val="32"/>
          <w:highlight w:val="none"/>
        </w:rPr>
        <w:t>我县非营利性民办中小学校收费标准指导价，</w:t>
      </w:r>
      <w:r>
        <w:rPr>
          <w:rFonts w:ascii="仿宋" w:hAnsi="仿宋" w:eastAsia="仿宋"/>
          <w:sz w:val="32"/>
          <w:szCs w:val="32"/>
          <w:highlight w:val="none"/>
        </w:rPr>
        <w:t>明确收费项目、收费标准和收费纪律</w:t>
      </w:r>
      <w:r>
        <w:rPr>
          <w:rFonts w:hint="eastAsia" w:ascii="仿宋" w:hAnsi="仿宋" w:eastAsia="仿宋"/>
          <w:sz w:val="32"/>
          <w:szCs w:val="32"/>
          <w:highlight w:val="none"/>
        </w:rPr>
        <w:t>，</w:t>
      </w:r>
      <w:r>
        <w:rPr>
          <w:rFonts w:hint="eastAsia" w:ascii="仿宋" w:hAnsi="仿宋" w:eastAsia="仿宋" w:cs="仿宋_GB2312"/>
          <w:kern w:val="0"/>
          <w:sz w:val="32"/>
          <w:szCs w:val="32"/>
          <w:highlight w:val="none"/>
        </w:rPr>
        <w:t>持续完善教育收费管理</w:t>
      </w:r>
      <w:r>
        <w:rPr>
          <w:rFonts w:hint="eastAsia" w:ascii="仿宋" w:hAnsi="仿宋" w:eastAsia="仿宋" w:cs="仿宋"/>
          <w:kern w:val="2"/>
          <w:sz w:val="32"/>
          <w:szCs w:val="32"/>
          <w:highlight w:val="none"/>
          <w:lang w:val="en-US" w:eastAsia="zh-CN" w:bidi="ar"/>
        </w:rPr>
        <w:t>。加大对国家、省、市出台的最新收费文件和取消收费项目、降低收费标准、减免收费的监督管理，确保降费减负政策落实到位。今年以来，新型冠状病毒核酸检测收费已三次降标，单人单检由40元/人.次降至16元/人.次，混合检测由10元/人.次降至4元/人.次。</w:t>
      </w:r>
      <w:r>
        <w:rPr>
          <w:rFonts w:hint="eastAsia" w:ascii="仿宋" w:hAnsi="仿宋" w:eastAsia="仿宋" w:cs="仿宋"/>
          <w:b w:val="0"/>
          <w:bCs w:val="0"/>
          <w:kern w:val="2"/>
          <w:sz w:val="32"/>
          <w:szCs w:val="32"/>
          <w:highlight w:val="none"/>
          <w:lang w:val="en-US" w:eastAsia="zh-CN" w:bidi="ar"/>
        </w:rPr>
        <w:t>规范收费秩序、加强收费监管。</w:t>
      </w:r>
      <w:r>
        <w:rPr>
          <w:rFonts w:hint="eastAsia" w:ascii="仿宋" w:hAnsi="仿宋" w:eastAsia="仿宋" w:cs="仿宋"/>
          <w:kern w:val="2"/>
          <w:sz w:val="32"/>
          <w:szCs w:val="32"/>
          <w:highlight w:val="none"/>
          <w:lang w:val="en-US" w:eastAsia="zh-CN" w:bidi="ar"/>
        </w:rPr>
        <w:t>对全县2022年春季中小学教育收费落实情况进行专项督查，会同县减负办、县委、县政府督查室、县教育局采取听、查、看相结合的方式，对全县各中小学校、幼儿园的收费政策和收费纪律执行情况进行督查，发现问题及时纠正，进一步规范了中小学、幼儿园的收费行为。</w:t>
      </w:r>
      <w:r>
        <w:rPr>
          <w:rFonts w:hint="eastAsia" w:ascii="仿宋" w:hAnsi="仿宋" w:eastAsia="仿宋" w:cs="仿宋"/>
          <w:b w:val="0"/>
          <w:bCs w:val="0"/>
          <w:color w:val="000000"/>
          <w:kern w:val="2"/>
          <w:sz w:val="32"/>
          <w:szCs w:val="32"/>
          <w:highlight w:val="none"/>
          <w:lang w:val="en-US" w:eastAsia="zh-CN" w:bidi="ar"/>
        </w:rPr>
        <w:t>加强价格调控监管，</w:t>
      </w:r>
      <w:r>
        <w:rPr>
          <w:rFonts w:hint="eastAsia" w:ascii="仿宋" w:hAnsi="仿宋" w:eastAsia="仿宋"/>
          <w:sz w:val="32"/>
          <w:szCs w:val="32"/>
          <w:highlight w:val="none"/>
        </w:rPr>
        <w:t>加强</w:t>
      </w:r>
      <w:r>
        <w:rPr>
          <w:rFonts w:ascii="仿宋" w:hAnsi="仿宋" w:eastAsia="仿宋"/>
          <w:sz w:val="32"/>
          <w:szCs w:val="32"/>
          <w:highlight w:val="none"/>
        </w:rPr>
        <w:t>对肉、蛋、</w:t>
      </w:r>
      <w:r>
        <w:rPr>
          <w:rFonts w:hint="eastAsia" w:ascii="仿宋" w:hAnsi="仿宋" w:eastAsia="仿宋"/>
          <w:sz w:val="32"/>
          <w:szCs w:val="32"/>
          <w:highlight w:val="none"/>
        </w:rPr>
        <w:t>蔬</w:t>
      </w:r>
      <w:r>
        <w:rPr>
          <w:rFonts w:ascii="仿宋" w:hAnsi="仿宋" w:eastAsia="仿宋"/>
          <w:sz w:val="32"/>
          <w:szCs w:val="32"/>
          <w:highlight w:val="none"/>
        </w:rPr>
        <w:t>菜、米、面、油等生活必需品价格</w:t>
      </w:r>
      <w:r>
        <w:rPr>
          <w:rFonts w:hint="eastAsia" w:ascii="仿宋" w:hAnsi="仿宋" w:eastAsia="仿宋"/>
          <w:sz w:val="32"/>
          <w:szCs w:val="32"/>
          <w:highlight w:val="none"/>
        </w:rPr>
        <w:t>监测</w:t>
      </w:r>
      <w:r>
        <w:rPr>
          <w:rFonts w:ascii="仿宋" w:hAnsi="仿宋" w:eastAsia="仿宋"/>
          <w:sz w:val="32"/>
          <w:szCs w:val="32"/>
          <w:highlight w:val="none"/>
        </w:rPr>
        <w:t>，实行周报告制度</w:t>
      </w:r>
      <w:r>
        <w:rPr>
          <w:rFonts w:hint="eastAsia" w:ascii="仿宋" w:hAnsi="仿宋" w:eastAsia="仿宋"/>
          <w:sz w:val="32"/>
          <w:szCs w:val="32"/>
          <w:highlight w:val="none"/>
          <w:lang w:eastAsia="zh-CN"/>
        </w:rPr>
        <w:t>；同时</w:t>
      </w:r>
      <w:r>
        <w:rPr>
          <w:rFonts w:ascii="仿宋" w:hAnsi="仿宋" w:eastAsia="仿宋"/>
          <w:sz w:val="32"/>
          <w:szCs w:val="32"/>
          <w:highlight w:val="none"/>
        </w:rPr>
        <w:t>认真分析</w:t>
      </w:r>
      <w:r>
        <w:rPr>
          <w:rFonts w:hint="eastAsia" w:ascii="仿宋" w:hAnsi="仿宋" w:eastAsia="仿宋"/>
          <w:sz w:val="32"/>
          <w:szCs w:val="32"/>
          <w:highlight w:val="none"/>
        </w:rPr>
        <w:t>研判</w:t>
      </w:r>
      <w:r>
        <w:rPr>
          <w:rFonts w:ascii="仿宋" w:hAnsi="仿宋" w:eastAsia="仿宋"/>
          <w:sz w:val="32"/>
          <w:szCs w:val="32"/>
          <w:highlight w:val="none"/>
        </w:rPr>
        <w:t>价格走势</w:t>
      </w:r>
      <w:r>
        <w:rPr>
          <w:rFonts w:hint="eastAsia" w:ascii="仿宋" w:hAnsi="仿宋" w:eastAsia="仿宋"/>
          <w:sz w:val="32"/>
          <w:szCs w:val="32"/>
          <w:highlight w:val="none"/>
        </w:rPr>
        <w:t>，</w:t>
      </w:r>
      <w:r>
        <w:rPr>
          <w:rFonts w:ascii="仿宋" w:hAnsi="仿宋" w:eastAsia="仿宋"/>
          <w:sz w:val="32"/>
          <w:szCs w:val="32"/>
          <w:highlight w:val="none"/>
        </w:rPr>
        <w:t>对可能引起市场价格秩序混乱或价格异动变化的倾向性、苗头性问题,积极采取相应措施</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全年居民消费价格涨幅</w:t>
      </w:r>
      <w:r>
        <w:rPr>
          <w:rFonts w:hint="eastAsia" w:ascii="仿宋" w:hAnsi="仿宋" w:eastAsia="仿宋"/>
          <w:sz w:val="32"/>
          <w:szCs w:val="32"/>
          <w:highlight w:val="none"/>
          <w:lang w:eastAsia="zh-CN"/>
        </w:rPr>
        <w:t>全年</w:t>
      </w:r>
      <w:r>
        <w:rPr>
          <w:rFonts w:hint="eastAsia" w:ascii="仿宋" w:hAnsi="仿宋" w:eastAsia="仿宋"/>
          <w:sz w:val="32"/>
          <w:szCs w:val="32"/>
          <w:highlight w:val="none"/>
        </w:rPr>
        <w:t>控制在3%以内。</w:t>
      </w:r>
      <w:r>
        <w:rPr>
          <w:rFonts w:ascii="仿宋" w:hAnsi="仿宋" w:eastAsia="仿宋"/>
          <w:sz w:val="32"/>
          <w:szCs w:val="32"/>
          <w:highlight w:val="none"/>
        </w:rPr>
        <w:t>按要求落实好社会救助和保障标准与物价上涨挂钩联动机制，从</w:t>
      </w:r>
      <w:r>
        <w:rPr>
          <w:rFonts w:hint="eastAsia" w:ascii="仿宋" w:hAnsi="仿宋" w:eastAsia="仿宋"/>
          <w:sz w:val="32"/>
          <w:szCs w:val="32"/>
          <w:highlight w:val="none"/>
        </w:rPr>
        <w:t>7</w:t>
      </w:r>
      <w:r>
        <w:rPr>
          <w:rFonts w:ascii="仿宋" w:hAnsi="仿宋" w:eastAsia="仿宋"/>
          <w:sz w:val="32"/>
          <w:szCs w:val="32"/>
          <w:highlight w:val="none"/>
        </w:rPr>
        <w:t>月至</w:t>
      </w:r>
      <w:r>
        <w:rPr>
          <w:rFonts w:hint="eastAsia" w:ascii="仿宋" w:hAnsi="仿宋" w:eastAsia="仿宋"/>
          <w:sz w:val="32"/>
          <w:szCs w:val="32"/>
          <w:highlight w:val="none"/>
        </w:rPr>
        <w:t>今</w:t>
      </w:r>
      <w:r>
        <w:rPr>
          <w:rFonts w:ascii="仿宋" w:hAnsi="仿宋" w:eastAsia="仿宋"/>
          <w:sz w:val="32"/>
          <w:szCs w:val="32"/>
          <w:highlight w:val="none"/>
        </w:rPr>
        <w:t>，连续启动社会救助和保障标准与物价上涨挂钩联动机制，积极做好价格临时补贴发放和保障工作，</w:t>
      </w:r>
      <w:r>
        <w:rPr>
          <w:rFonts w:hint="eastAsia" w:ascii="仿宋" w:hAnsi="仿宋" w:eastAsia="仿宋"/>
          <w:sz w:val="32"/>
          <w:szCs w:val="32"/>
          <w:highlight w:val="none"/>
        </w:rPr>
        <w:t>对城乡低保对象、特困人员、低保边缘人口、领取失业保险金人员、领取失业补助金人员、享受国家定期抚恤补助的优抚对象，以及孤儿、事实无人抚养儿童、艾滋病病毒感染儿童及时发放价格临时补贴。7</w:t>
      </w:r>
      <w:r>
        <w:rPr>
          <w:rFonts w:ascii="仿宋" w:hAnsi="仿宋" w:eastAsia="仿宋"/>
          <w:sz w:val="32"/>
          <w:szCs w:val="32"/>
          <w:highlight w:val="none"/>
        </w:rPr>
        <w:t>-</w:t>
      </w:r>
      <w:r>
        <w:rPr>
          <w:rFonts w:hint="eastAsia" w:ascii="仿宋" w:hAnsi="仿宋" w:eastAsia="仿宋"/>
          <w:sz w:val="32"/>
          <w:szCs w:val="32"/>
          <w:highlight w:val="none"/>
          <w:lang w:val="en-US" w:eastAsia="zh-CN"/>
        </w:rPr>
        <w:t>10</w:t>
      </w:r>
      <w:r>
        <w:rPr>
          <w:rFonts w:ascii="仿宋" w:hAnsi="仿宋" w:eastAsia="仿宋"/>
          <w:sz w:val="32"/>
          <w:szCs w:val="32"/>
          <w:highlight w:val="none"/>
        </w:rPr>
        <w:t>月共发“价格临时补贴”</w:t>
      </w:r>
      <w:r>
        <w:rPr>
          <w:rFonts w:hint="eastAsia" w:ascii="仿宋" w:hAnsi="仿宋" w:eastAsia="仿宋"/>
          <w:sz w:val="32"/>
          <w:szCs w:val="32"/>
          <w:highlight w:val="none"/>
        </w:rPr>
        <w:t xml:space="preserve"> </w:t>
      </w:r>
      <w:r>
        <w:rPr>
          <w:rFonts w:hint="eastAsia" w:ascii="仿宋" w:hAnsi="仿宋" w:eastAsia="仿宋"/>
          <w:sz w:val="32"/>
          <w:szCs w:val="32"/>
          <w:highlight w:val="none"/>
          <w:lang w:val="en-US" w:eastAsia="zh-CN"/>
        </w:rPr>
        <w:t>87199</w:t>
      </w:r>
      <w:r>
        <w:rPr>
          <w:rFonts w:ascii="仿宋" w:hAnsi="仿宋" w:eastAsia="仿宋"/>
          <w:sz w:val="32"/>
          <w:szCs w:val="32"/>
          <w:highlight w:val="none"/>
        </w:rPr>
        <w:t>人次，发放金额</w:t>
      </w:r>
      <w:r>
        <w:rPr>
          <w:rFonts w:hint="eastAsia" w:ascii="仿宋" w:hAnsi="仿宋" w:eastAsia="仿宋"/>
          <w:sz w:val="32"/>
          <w:szCs w:val="32"/>
          <w:highlight w:val="none"/>
        </w:rPr>
        <w:t xml:space="preserve"> </w:t>
      </w:r>
      <w:r>
        <w:rPr>
          <w:rFonts w:hint="eastAsia" w:ascii="仿宋" w:hAnsi="仿宋" w:eastAsia="仿宋"/>
          <w:sz w:val="32"/>
          <w:szCs w:val="32"/>
          <w:highlight w:val="none"/>
          <w:lang w:val="en-US" w:eastAsia="zh-CN"/>
        </w:rPr>
        <w:t>1796152</w:t>
      </w:r>
      <w:r>
        <w:rPr>
          <w:rFonts w:hint="eastAsia" w:ascii="仿宋" w:hAnsi="仿宋" w:eastAsia="仿宋"/>
          <w:sz w:val="32"/>
          <w:szCs w:val="32"/>
          <w:highlight w:val="none"/>
        </w:rPr>
        <w:t xml:space="preserve"> </w:t>
      </w:r>
      <w:r>
        <w:rPr>
          <w:rFonts w:ascii="仿宋" w:hAnsi="仿宋" w:eastAsia="仿宋"/>
          <w:sz w:val="32"/>
          <w:szCs w:val="32"/>
          <w:highlight w:val="none"/>
        </w:rPr>
        <w:t>元</w:t>
      </w:r>
      <w:r>
        <w:rPr>
          <w:rFonts w:hint="eastAsia" w:ascii="仿宋" w:hAnsi="仿宋" w:eastAsia="仿宋"/>
          <w:sz w:val="32"/>
          <w:szCs w:val="32"/>
          <w:highlight w:val="none"/>
          <w:lang w:eastAsia="zh-CN"/>
        </w:rPr>
        <w:t>，</w:t>
      </w:r>
      <w:r>
        <w:rPr>
          <w:rFonts w:hint="eastAsia" w:ascii="仿宋" w:hAnsi="仿宋" w:eastAsia="仿宋"/>
          <w:sz w:val="32"/>
          <w:szCs w:val="32"/>
          <w:highlight w:val="none"/>
        </w:rPr>
        <w:t>预计1</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-12月会连续启动联动机制。</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600" w:lineRule="exact"/>
        <w:ind w:right="0" w:rightChars="0" w:firstLine="643" w:firstLineChars="200"/>
        <w:jc w:val="both"/>
        <w:textAlignment w:val="auto"/>
        <w:rPr>
          <w:rFonts w:hint="default" w:ascii="仿宋" w:hAnsi="仿宋" w:eastAsia="仿宋" w:cs="仿宋"/>
          <w:b/>
          <w:bCs/>
          <w:kern w:val="2"/>
          <w:sz w:val="32"/>
          <w:szCs w:val="32"/>
          <w:highlight w:val="none"/>
          <w:lang w:val="en-US" w:eastAsia="zh-CN"/>
        </w:rPr>
      </w:pPr>
      <w:r>
        <w:rPr>
          <w:rFonts w:hint="eastAsia" w:ascii="仿宋_GB2312" w:hAnsi="仿宋_GB2312" w:eastAsia="仿宋_GB2312" w:cs="仿宋_GB2312"/>
          <w:b/>
          <w:bCs/>
          <w:sz w:val="32"/>
          <w:szCs w:val="32"/>
          <w:lang w:val="en-US" w:eastAsia="zh-CN"/>
        </w:rPr>
        <w:t>（八）成绩八：落实粮食安全工作责任，毫不松懈抓好粮食保障工作。</w:t>
      </w:r>
      <w:r>
        <w:rPr>
          <w:rFonts w:hint="eastAsia" w:ascii="仿宋" w:hAnsi="仿宋" w:eastAsia="仿宋" w:cs="仿宋"/>
          <w:b w:val="0"/>
          <w:bCs w:val="0"/>
          <w:kern w:val="0"/>
          <w:sz w:val="32"/>
          <w:szCs w:val="32"/>
          <w:highlight w:val="none"/>
          <w:lang w:val="en-US" w:eastAsia="zh-CN" w:bidi="ar"/>
        </w:rPr>
        <w:t>加大粮食收购，</w:t>
      </w:r>
      <w:r>
        <w:rPr>
          <w:rFonts w:hint="eastAsia" w:ascii="仿宋" w:hAnsi="仿宋" w:eastAsia="仿宋" w:cs="仿宋"/>
          <w:sz w:val="32"/>
          <w:szCs w:val="32"/>
          <w:highlight w:val="none"/>
          <w:lang w:val="en-US" w:eastAsia="zh-CN"/>
        </w:rPr>
        <w:t>2022年全县收购稻谷27982吨（其中国有控股企业8527吨），加工企业收购稻谷19455吨。全年粮油工业总产值11.1亿元（其中国有控股企业0.8亿元、粮食加工企业0.85亿元、湖南贵太太油茶科技有限9.6亿元）。</w:t>
      </w:r>
      <w:r>
        <w:rPr>
          <w:rFonts w:hint="eastAsia" w:ascii="仿宋" w:hAnsi="仿宋" w:eastAsia="仿宋" w:cs="仿宋"/>
          <w:b w:val="0"/>
          <w:bCs/>
          <w:color w:val="000000"/>
          <w:sz w:val="32"/>
          <w:szCs w:val="32"/>
          <w:highlight w:val="none"/>
        </w:rPr>
        <w:t>加强县级储备粮质量管理</w:t>
      </w:r>
      <w:r>
        <w:rPr>
          <w:rFonts w:hint="eastAsia" w:ascii="仿宋" w:hAnsi="仿宋" w:eastAsia="仿宋" w:cs="仿宋"/>
          <w:b w:val="0"/>
          <w:bCs/>
          <w:color w:val="000000"/>
          <w:sz w:val="32"/>
          <w:szCs w:val="32"/>
          <w:highlight w:val="none"/>
          <w:lang w:eastAsia="zh-CN"/>
        </w:rPr>
        <w:t>，</w:t>
      </w:r>
      <w:r>
        <w:rPr>
          <w:rFonts w:hint="eastAsia" w:ascii="仿宋" w:hAnsi="仿宋" w:eastAsia="仿宋" w:cs="仿宋"/>
          <w:sz w:val="32"/>
          <w:szCs w:val="32"/>
          <w:highlight w:val="none"/>
          <w:lang w:val="en-US" w:eastAsia="zh-CN"/>
        </w:rPr>
        <w:t>7月起粮食和物资储备事务中心承储我县</w:t>
      </w:r>
      <w:r>
        <w:rPr>
          <w:rFonts w:hint="eastAsia" w:ascii="仿宋" w:hAnsi="仿宋" w:eastAsia="仿宋" w:cs="仿宋"/>
          <w:color w:val="000000"/>
          <w:sz w:val="32"/>
          <w:szCs w:val="32"/>
          <w:highlight w:val="none"/>
        </w:rPr>
        <w:t>县级储备粮2500吨，成品粮1</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0吨。2022年5月</w:t>
      </w:r>
      <w:r>
        <w:rPr>
          <w:rFonts w:hint="eastAsia" w:ascii="仿宋" w:hAnsi="仿宋" w:eastAsia="仿宋" w:cs="仿宋"/>
          <w:color w:val="000000"/>
          <w:sz w:val="32"/>
          <w:szCs w:val="32"/>
          <w:highlight w:val="none"/>
          <w:lang w:eastAsia="zh-CN"/>
        </w:rPr>
        <w:t>已</w:t>
      </w:r>
      <w:r>
        <w:rPr>
          <w:rFonts w:hint="eastAsia" w:ascii="仿宋" w:hAnsi="仿宋" w:eastAsia="仿宋" w:cs="仿宋"/>
          <w:b w:val="0"/>
          <w:bCs/>
          <w:color w:val="000000"/>
          <w:sz w:val="32"/>
          <w:szCs w:val="32"/>
          <w:highlight w:val="none"/>
        </w:rPr>
        <w:t>完成县储备粮1000吨轮换出库任务</w:t>
      </w:r>
      <w:r>
        <w:rPr>
          <w:rFonts w:hint="eastAsia" w:ascii="仿宋" w:hAnsi="仿宋" w:eastAsia="仿宋" w:cs="仿宋"/>
          <w:b w:val="0"/>
          <w:bCs/>
          <w:color w:val="000000"/>
          <w:sz w:val="32"/>
          <w:szCs w:val="32"/>
          <w:highlight w:val="none"/>
          <w:lang w:eastAsia="zh-CN"/>
        </w:rPr>
        <w:t>，</w:t>
      </w:r>
      <w:r>
        <w:rPr>
          <w:rFonts w:hint="eastAsia" w:ascii="仿宋" w:hAnsi="仿宋" w:eastAsia="仿宋" w:cs="仿宋"/>
          <w:sz w:val="32"/>
          <w:szCs w:val="32"/>
          <w:highlight w:val="none"/>
          <w:lang w:val="en-US" w:eastAsia="zh-CN"/>
        </w:rPr>
        <w:t>12月初已完成</w:t>
      </w:r>
      <w:r>
        <w:rPr>
          <w:rFonts w:hint="eastAsia" w:ascii="仿宋" w:hAnsi="仿宋" w:eastAsia="仿宋" w:cs="仿宋"/>
          <w:sz w:val="32"/>
          <w:szCs w:val="32"/>
          <w:highlight w:val="none"/>
        </w:rPr>
        <w:t>县级储备粮1000吨</w:t>
      </w:r>
      <w:r>
        <w:rPr>
          <w:rFonts w:hint="eastAsia" w:ascii="仿宋" w:hAnsi="仿宋" w:eastAsia="仿宋" w:cs="仿宋"/>
          <w:sz w:val="32"/>
          <w:szCs w:val="32"/>
          <w:highlight w:val="none"/>
          <w:lang w:eastAsia="zh-CN"/>
        </w:rPr>
        <w:t>轮换</w:t>
      </w:r>
      <w:r>
        <w:rPr>
          <w:rFonts w:hint="eastAsia" w:ascii="仿宋" w:hAnsi="仿宋" w:eastAsia="仿宋" w:cs="仿宋"/>
          <w:sz w:val="32"/>
          <w:szCs w:val="32"/>
          <w:highlight w:val="none"/>
          <w:lang w:val="en-US" w:eastAsia="zh-CN"/>
        </w:rPr>
        <w:t>收购</w:t>
      </w:r>
      <w:r>
        <w:rPr>
          <w:rFonts w:hint="eastAsia" w:ascii="仿宋" w:hAnsi="仿宋" w:eastAsia="仿宋" w:cs="仿宋"/>
          <w:sz w:val="32"/>
          <w:szCs w:val="32"/>
          <w:highlight w:val="none"/>
        </w:rPr>
        <w:t>任务</w:t>
      </w:r>
      <w:r>
        <w:rPr>
          <w:rFonts w:hint="eastAsia" w:ascii="仿宋" w:hAnsi="仿宋" w:eastAsia="仿宋" w:cs="仿宋"/>
          <w:b w:val="0"/>
          <w:bCs/>
          <w:color w:val="000000"/>
          <w:sz w:val="32"/>
          <w:szCs w:val="32"/>
          <w:highlight w:val="none"/>
        </w:rPr>
        <w:t>。</w:t>
      </w:r>
      <w:r>
        <w:rPr>
          <w:rFonts w:hint="eastAsia" w:ascii="仿宋" w:hAnsi="仿宋" w:eastAsia="仿宋" w:cs="仿宋"/>
          <w:b w:val="0"/>
          <w:bCs/>
          <w:color w:val="000000"/>
          <w:sz w:val="32"/>
          <w:szCs w:val="32"/>
          <w:highlight w:val="none"/>
          <w:lang w:eastAsia="zh-CN"/>
        </w:rPr>
        <w:t>制定了</w:t>
      </w:r>
      <w:r>
        <w:rPr>
          <w:rFonts w:hint="eastAsia" w:ascii="仿宋" w:hAnsi="仿宋" w:eastAsia="仿宋" w:cs="仿宋"/>
          <w:sz w:val="32"/>
          <w:szCs w:val="32"/>
          <w:highlight w:val="none"/>
          <w:lang w:val="en-US" w:eastAsia="zh-CN"/>
        </w:rPr>
        <w:t>《关于切实做好2022年粮食收购工作的通知》（绥发改粮[2022]14号）、《绥宁县2022年临储粮收购方案的通知》（绥发改粮[2022]15号）、《绥宁县地方临储粮食收购销售处置办法》（绥发改粮[2022]16号）等文件，规范了临储粮挂牌敞开收购、溯源管理,预计全年临储粮收购162吨。</w:t>
      </w:r>
      <w:r>
        <w:rPr>
          <w:rFonts w:hint="eastAsia" w:ascii="仿宋" w:hAnsi="仿宋" w:eastAsia="仿宋" w:cs="仿宋"/>
          <w:b w:val="0"/>
          <w:bCs/>
          <w:color w:val="000000"/>
          <w:sz w:val="32"/>
          <w:szCs w:val="32"/>
          <w:highlight w:val="none"/>
        </w:rPr>
        <w:t>我局会同县财政</w:t>
      </w:r>
      <w:r>
        <w:rPr>
          <w:rFonts w:hint="eastAsia" w:ascii="仿宋" w:hAnsi="仿宋" w:eastAsia="仿宋" w:cs="仿宋"/>
          <w:color w:val="000000"/>
          <w:sz w:val="32"/>
          <w:szCs w:val="32"/>
          <w:highlight w:val="none"/>
        </w:rPr>
        <w:t>局、中国农业发展银行绥宁支行加强对储备粮管理，对县级储备粮进行了粮食安全质量检查，结合全市粮食安全质量大检查，对检查出的4个问题进行了整改</w:t>
      </w:r>
      <w:r>
        <w:rPr>
          <w:rFonts w:hint="eastAsia" w:ascii="仿宋" w:hAnsi="仿宋" w:eastAsia="仿宋" w:cs="仿宋"/>
          <w:color w:val="000000"/>
          <w:sz w:val="32"/>
          <w:szCs w:val="32"/>
          <w:highlight w:val="none"/>
          <w:lang w:eastAsia="zh-CN"/>
        </w:rPr>
        <w:t>，并于</w:t>
      </w:r>
      <w:r>
        <w:rPr>
          <w:rFonts w:hint="eastAsia" w:ascii="仿宋" w:hAnsi="仿宋" w:eastAsia="仿宋" w:cs="仿宋"/>
          <w:color w:val="000000"/>
          <w:sz w:val="32"/>
          <w:szCs w:val="32"/>
          <w:highlight w:val="none"/>
          <w:lang w:val="en-US" w:eastAsia="zh-CN"/>
        </w:rPr>
        <w:t>6月30日全部整改到位</w:t>
      </w:r>
      <w:r>
        <w:rPr>
          <w:rFonts w:hint="eastAsia" w:ascii="仿宋" w:hAnsi="仿宋" w:eastAsia="仿宋" w:cs="仿宋"/>
          <w:color w:val="000000"/>
          <w:sz w:val="32"/>
          <w:szCs w:val="32"/>
          <w:highlight w:val="none"/>
          <w:lang w:eastAsia="zh-CN"/>
        </w:rPr>
        <w:t>。</w:t>
      </w:r>
    </w:p>
    <w:p>
      <w:pPr>
        <w:pStyle w:val="10"/>
        <w:keepNext w:val="0"/>
        <w:keepLines w:val="0"/>
        <w:pageBreakBefore w:val="0"/>
        <w:widowControl w:val="0"/>
        <w:numPr>
          <w:ilvl w:val="0"/>
          <w:numId w:val="0"/>
        </w:numPr>
        <w:kinsoku/>
        <w:wordWrap/>
        <w:overflowPunct/>
        <w:topLinePunct w:val="0"/>
        <w:autoSpaceDE/>
        <w:autoSpaceDN/>
        <w:bidi w:val="0"/>
        <w:adjustRightInd/>
        <w:spacing w:line="600" w:lineRule="exact"/>
        <w:ind w:firstLine="643"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（九）成绩九：</w:t>
      </w:r>
      <w:r>
        <w:rPr>
          <w:rFonts w:hint="eastAsia" w:ascii="仿宋" w:hAnsi="仿宋" w:eastAsia="仿宋" w:cs="仿宋"/>
          <w:b/>
          <w:bCs/>
          <w:color w:val="auto"/>
          <w:kern w:val="2"/>
          <w:sz w:val="32"/>
          <w:szCs w:val="32"/>
          <w:lang w:val="en-US" w:eastAsia="zh-CN" w:bidi="ar-SA"/>
        </w:rPr>
        <w:t>聚焦发展和安全，抓好安全生产和生态环境保护。</w:t>
      </w:r>
      <w:r>
        <w:rPr>
          <w:rFonts w:hint="eastAsia" w:ascii="Times New Roman" w:hAnsi="Times New Roman" w:eastAsia="仿宋_GB2312" w:cs="仿宋_GB2312"/>
          <w:color w:val="auto"/>
          <w:kern w:val="2"/>
          <w:sz w:val="32"/>
          <w:szCs w:val="32"/>
          <w:lang w:val="en-US" w:eastAsia="zh-CN" w:bidi="ar-SA"/>
        </w:rPr>
        <w:t>统筹经济高质量发展和常态化疫情防控、安全生产、生态环境保护、节能降耗等各项工作。根据市局要求和县新冠肺炎疫情防控工作指挥部工作领导小组安排，全面做好新冠疫情防控物资保障工作,我县共储备441.92万元公共卫生应急物资，实物储备415.12万元，合同储备26.8万元，其中医疗防护物资257万元，针对新冠肺炎的西药和饮片的救治药品184.92万余，物资由第三方承储企业湖南医药集团储存在邵阳仓库。1月-10月15日我局</w:t>
      </w:r>
      <w:r>
        <w:rPr>
          <w:rFonts w:hint="eastAsia" w:ascii="Times New Roman" w:hAnsi="Times New Roman" w:eastAsia="仿宋_GB2312" w:cs="仿宋_GB2312"/>
          <w:color w:val="auto"/>
          <w:kern w:val="2"/>
          <w:sz w:val="32"/>
          <w:szCs w:val="32"/>
          <w:highlight w:val="none"/>
          <w:lang w:val="en-US" w:eastAsia="zh-CN" w:bidi="ar-SA"/>
        </w:rPr>
        <w:t>为县疾控中心、各隔离点、卫生院及机关单位共调拨卫生应急物资292.382万元。</w:t>
      </w:r>
      <w:r>
        <w:rPr>
          <w:rFonts w:hint="eastAsia" w:ascii="Times New Roman" w:hAnsi="Times New Roman" w:eastAsia="仿宋_GB2312" w:cs="仿宋_GB2312"/>
          <w:color w:val="auto"/>
          <w:kern w:val="2"/>
          <w:sz w:val="32"/>
          <w:szCs w:val="32"/>
          <w:lang w:val="en-US" w:eastAsia="zh-CN" w:bidi="ar-SA"/>
        </w:rPr>
        <w:t>邵阳县10.15疫情及我县11.2疫情发生以来，为加强我县公共卫生应急物资储备，进一步提高我县公共卫生应急管理工作处置能力，截止11月13日，我局从湖南医药集团采购医用防护服、医用防护口罩、防护手套、面罩、消毒水等防疫物资511.4738万元，发放医疗防控物资配发180余次，共计384.75万元。现有库存医疗防疫物资150.41万元，其中有防护服17417件、N95口罩101327个、医用外科口罩102469个、隔离衣12267件、一次性外科手套26460双及其他的20多类防疫物资</w:t>
      </w:r>
      <w:r>
        <w:rPr>
          <w:rFonts w:hint="eastAsia" w:ascii="仿宋" w:hAnsi="仿宋" w:eastAsia="仿宋" w:cs="仿宋"/>
          <w:color w:val="auto"/>
          <w:sz w:val="32"/>
          <w:szCs w:val="32"/>
          <w:highlight w:val="none"/>
          <w:lang w:val="en-US" w:eastAsia="zh-CN"/>
        </w:rPr>
        <w:t>。</w:t>
      </w:r>
      <w:r>
        <w:rPr>
          <w:rFonts w:hint="eastAsia" w:ascii="Times New Roman" w:hAnsi="Times New Roman" w:eastAsia="仿宋_GB2312" w:cs="仿宋_GB2312"/>
          <w:color w:val="auto"/>
          <w:kern w:val="2"/>
          <w:sz w:val="32"/>
          <w:szCs w:val="32"/>
          <w:lang w:val="en-US" w:eastAsia="zh-CN" w:bidi="ar-SA"/>
        </w:rPr>
        <w:t>严格落实“三管三必须</w:t>
      </w:r>
      <w:r>
        <w:rPr>
          <w:rFonts w:hint="default" w:ascii="Times New Roman" w:hAnsi="Times New Roman" w:eastAsia="仿宋_GB2312" w:cs="仿宋_GB2312"/>
          <w:color w:val="auto"/>
          <w:kern w:val="2"/>
          <w:sz w:val="32"/>
          <w:szCs w:val="32"/>
          <w:lang w:val="en-US" w:eastAsia="zh-CN" w:bidi="ar-SA"/>
        </w:rPr>
        <w:t>”</w:t>
      </w:r>
      <w:r>
        <w:rPr>
          <w:rFonts w:hint="eastAsia" w:ascii="Times New Roman" w:hAnsi="Times New Roman" w:eastAsia="仿宋_GB2312" w:cs="仿宋_GB2312"/>
          <w:color w:val="auto"/>
          <w:kern w:val="2"/>
          <w:sz w:val="32"/>
          <w:szCs w:val="32"/>
          <w:lang w:val="en-US" w:eastAsia="zh-CN" w:bidi="ar-SA"/>
        </w:rPr>
        <w:t>及安全生产十五条硬措施要求，深化安全风险源头治理，落实企业主体责任，压实行业监管责任，常态化深入规模企业排查各类风险隐患，开展安全生产领域打击非法违法、违章违规生产经营行为，坚决杜绝工业企业较大及以上安全生产事故，遏制一般事故，全年未发生安全生产事故。认真排查原粮食系统、工信系统和科技系统房屋安全隐患，建立排查整改台帐，分类实施改停封拆措施，鉴定为D级及危房的河口粮站已拆除。强化能耗双控目标管理，将工作目标分解下达到工业园区和规模企业。</w:t>
      </w:r>
      <w:r>
        <w:rPr>
          <w:rFonts w:hint="eastAsia" w:ascii="Times New Roman" w:hAnsi="Times New Roman" w:eastAsia="仿宋_GB2312" w:cs="仿宋_GB2312"/>
          <w:color w:val="auto"/>
          <w:kern w:val="2"/>
          <w:sz w:val="32"/>
          <w:szCs w:val="32"/>
          <w:highlight w:val="none"/>
          <w:lang w:val="en-US" w:eastAsia="zh-CN" w:bidi="ar-SA"/>
        </w:rPr>
        <w:t>强化能耗双控目标管理，</w:t>
      </w:r>
      <w:r>
        <w:rPr>
          <w:rFonts w:hint="eastAsia" w:ascii="Times New Roman" w:hAnsi="Times New Roman" w:eastAsia="仿宋_GB2312" w:cs="仿宋_GB2312"/>
          <w:color w:val="auto"/>
          <w:kern w:val="2"/>
          <w:sz w:val="32"/>
          <w:szCs w:val="32"/>
          <w:lang w:val="en-US" w:eastAsia="zh-CN" w:bidi="ar-SA"/>
        </w:rPr>
        <w:t>根据省市发改委下达的综合能耗超过1000吨标煤节能措施落实要求，</w:t>
      </w:r>
      <w:r>
        <w:rPr>
          <w:rFonts w:hint="eastAsia" w:ascii="Times New Roman" w:hAnsi="Times New Roman" w:eastAsia="仿宋_GB2312" w:cs="仿宋_GB2312"/>
          <w:color w:val="auto"/>
          <w:kern w:val="2"/>
          <w:sz w:val="32"/>
          <w:szCs w:val="32"/>
          <w:highlight w:val="none"/>
          <w:lang w:val="en-US" w:eastAsia="zh-CN" w:bidi="ar-SA"/>
        </w:rPr>
        <w:t>加强对湖南中集等重点用能单位管理，坚决遏制“两高”项目盲目发展。</w:t>
      </w:r>
      <w:r>
        <w:rPr>
          <w:rFonts w:hint="eastAsia" w:ascii="Times New Roman" w:hAnsi="Times New Roman" w:eastAsia="仿宋_GB2312" w:cs="仿宋_GB2312"/>
          <w:color w:val="auto"/>
          <w:kern w:val="2"/>
          <w:sz w:val="32"/>
          <w:szCs w:val="32"/>
          <w:lang w:val="en-US" w:eastAsia="zh-CN" w:bidi="ar-SA"/>
        </w:rPr>
        <w:t>抓好能评审查、节能监察和节能重点工程建设，确保实现万元GDP能耗下降4.5%以内目标。扎实开展防范化解重大生态环境风险隐患“利剑行动”和夏季攻势，聚焦工业企业，尤其是联合化工、华硕化工等企业环境风险和重点行业</w:t>
      </w:r>
      <w:r>
        <w:rPr>
          <w:rFonts w:hint="eastAsia" w:ascii="仿宋" w:hAnsi="仿宋" w:eastAsia="仿宋" w:cs="仿宋"/>
          <w:color w:val="auto"/>
          <w:kern w:val="2"/>
          <w:sz w:val="32"/>
          <w:szCs w:val="32"/>
          <w:lang w:val="en-US" w:eastAsia="zh-CN" w:bidi="ar-SA"/>
        </w:rPr>
        <w:t>VOCs</w:t>
      </w:r>
      <w:r>
        <w:rPr>
          <w:rFonts w:hint="eastAsia" w:ascii="Times New Roman" w:hAnsi="Times New Roman" w:eastAsia="仿宋_GB2312" w:cs="仿宋_GB2312"/>
          <w:color w:val="auto"/>
          <w:kern w:val="2"/>
          <w:sz w:val="32"/>
          <w:szCs w:val="32"/>
          <w:lang w:val="en-US" w:eastAsia="zh-CN" w:bidi="ar-SA"/>
        </w:rPr>
        <w:t>综合治理，推动建立风险隐患排查和整改落实工作机制，推行清单式整改，助推蓝天保卫战。</w:t>
      </w:r>
      <w:r>
        <w:rPr>
          <w:rFonts w:hint="eastAsia" w:ascii="仿宋" w:hAnsi="仿宋" w:eastAsia="仿宋" w:cs="仿宋"/>
          <w:sz w:val="32"/>
          <w:szCs w:val="32"/>
          <w:highlight w:val="none"/>
          <w:lang w:val="en-US" w:eastAsia="zh-CN"/>
        </w:rPr>
        <w:t>组织县自然资源局、生态环境分局、工业园区等单位抓好</w:t>
      </w:r>
      <w:r>
        <w:rPr>
          <w:rFonts w:hint="eastAsia" w:ascii="Times New Roman" w:hAnsi="Times New Roman" w:eastAsia="仿宋_GB2312" w:cs="仿宋_GB2312"/>
          <w:color w:val="auto"/>
          <w:kern w:val="2"/>
          <w:sz w:val="32"/>
          <w:szCs w:val="32"/>
          <w:lang w:val="en-US" w:eastAsia="zh-CN" w:bidi="ar-SA"/>
        </w:rPr>
        <w:t>长江经济带生态环境警示片</w:t>
      </w:r>
      <w:r>
        <w:rPr>
          <w:rFonts w:hint="eastAsia" w:ascii="仿宋" w:hAnsi="仿宋" w:eastAsia="仿宋" w:cs="仿宋"/>
          <w:b w:val="0"/>
          <w:bCs w:val="0"/>
          <w:color w:val="auto"/>
          <w:sz w:val="32"/>
          <w:szCs w:val="32"/>
          <w:highlight w:val="none"/>
          <w:lang w:val="en-US" w:eastAsia="zh-CN"/>
        </w:rPr>
        <w:t>反馈问题和</w:t>
      </w:r>
      <w:r>
        <w:rPr>
          <w:rFonts w:hint="eastAsia" w:ascii="仿宋" w:hAnsi="仿宋" w:eastAsia="仿宋" w:cs="仿宋"/>
          <w:b w:val="0"/>
          <w:bCs w:val="0"/>
          <w:sz w:val="32"/>
          <w:szCs w:val="32"/>
          <w:highlight w:val="none"/>
          <w:lang w:val="en-US" w:eastAsia="zh-CN"/>
        </w:rPr>
        <w:t>省长江经济带生态环境“举一反三”自查问题整改，</w:t>
      </w:r>
      <w:r>
        <w:rPr>
          <w:rFonts w:hint="eastAsia" w:ascii="Times New Roman" w:hAnsi="Times New Roman" w:eastAsia="仿宋_GB2312" w:cs="仿宋_GB2312"/>
          <w:color w:val="auto"/>
          <w:kern w:val="2"/>
          <w:sz w:val="32"/>
          <w:szCs w:val="32"/>
          <w:lang w:val="en-US" w:eastAsia="zh-CN" w:bidi="ar-SA"/>
        </w:rPr>
        <w:t>严格按照程序和标准全面完成各类问题的整改销号。</w:t>
      </w:r>
      <w:r>
        <w:rPr>
          <w:rFonts w:hint="eastAsia" w:ascii="Times New Roman" w:hAnsi="Times New Roman" w:eastAsia="仿宋_GB2312" w:cs="仿宋_GB2312"/>
          <w:color w:val="auto"/>
          <w:kern w:val="2"/>
          <w:sz w:val="32"/>
          <w:szCs w:val="32"/>
          <w:highlight w:val="none"/>
          <w:lang w:val="en-US" w:eastAsia="zh-CN" w:bidi="ar-SA"/>
        </w:rPr>
        <w:t>李熙桥镇陈家村生猪养殖场恶臭、农田未耕作、生态裸露等生态环境存在问题已基本整改完毕，</w:t>
      </w:r>
      <w:r>
        <w:rPr>
          <w:rFonts w:hint="eastAsia" w:ascii="仿宋" w:hAnsi="仿宋" w:eastAsia="仿宋" w:cs="仿宋"/>
          <w:b w:val="0"/>
          <w:bCs w:val="0"/>
          <w:sz w:val="32"/>
          <w:szCs w:val="32"/>
          <w:highlight w:val="none"/>
          <w:lang w:val="en-US" w:eastAsia="zh-CN"/>
        </w:rPr>
        <w:t>绥宁县袁家团工业园区污水处理厂上班时间排出浓烟、园区至白岩水污水管网溢流问题、</w:t>
      </w:r>
      <w:r>
        <w:rPr>
          <w:rFonts w:hint="eastAsia" w:ascii="Times New Roman" w:hAnsi="Times New Roman" w:eastAsia="仿宋_GB2312" w:cs="仿宋_GB2312"/>
          <w:color w:val="auto"/>
          <w:kern w:val="2"/>
          <w:sz w:val="32"/>
          <w:szCs w:val="32"/>
          <w:highlight w:val="none"/>
          <w:lang w:val="en-US" w:eastAsia="zh-CN" w:bidi="ar-SA"/>
        </w:rPr>
        <w:t>污水处理厂淤泥处置问题已整改完毕，</w:t>
      </w:r>
      <w:r>
        <w:rPr>
          <w:rFonts w:hint="eastAsia" w:ascii="仿宋" w:hAnsi="仿宋" w:eastAsia="仿宋" w:cs="仿宋"/>
          <w:b w:val="0"/>
          <w:bCs w:val="0"/>
          <w:sz w:val="32"/>
          <w:szCs w:val="32"/>
          <w:highlight w:val="none"/>
          <w:lang w:val="en-US" w:eastAsia="zh-CN"/>
        </w:rPr>
        <w:t>县城生活垃圾填埋场渗滤液问题正在整改中。</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600" w:lineRule="exact"/>
        <w:ind w:right="0" w:rightChars="0" w:firstLine="643"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（十）成绩十：</w:t>
      </w:r>
      <w:r>
        <w:rPr>
          <w:rFonts w:hint="eastAsia" w:ascii="仿宋" w:hAnsi="仿宋" w:eastAsia="仿宋" w:cs="仿宋"/>
          <w:b/>
          <w:bCs/>
          <w:sz w:val="32"/>
          <w:szCs w:val="32"/>
          <w:highlight w:val="none"/>
          <w:lang w:eastAsia="zh-CN"/>
        </w:rPr>
        <w:t>巩固拓展脱贫攻坚成果同乡村振兴有效衔接。</w:t>
      </w:r>
      <w:r>
        <w:rPr>
          <w:rFonts w:hint="eastAsia" w:ascii="仿宋" w:hAnsi="仿宋" w:eastAsia="仿宋" w:cs="仿宋"/>
          <w:b/>
          <w:bCs/>
          <w:sz w:val="32"/>
          <w:szCs w:val="32"/>
          <w:highlight w:val="none"/>
        </w:rPr>
        <w:t>整合资源，配齐要素</w:t>
      </w:r>
      <w:r>
        <w:rPr>
          <w:rFonts w:hint="eastAsia" w:ascii="仿宋" w:hAnsi="仿宋" w:eastAsia="仿宋" w:cs="仿宋"/>
          <w:b/>
          <w:bCs/>
          <w:sz w:val="32"/>
          <w:szCs w:val="32"/>
          <w:highlight w:val="none"/>
          <w:lang w:eastAsia="zh-CN"/>
        </w:rPr>
        <w:t>。</w:t>
      </w:r>
      <w:r>
        <w:rPr>
          <w:rFonts w:hint="eastAsia" w:ascii="仿宋" w:hAnsi="仿宋" w:eastAsia="仿宋" w:cs="仿宋"/>
          <w:sz w:val="32"/>
          <w:szCs w:val="32"/>
          <w:highlight w:val="none"/>
        </w:rPr>
        <w:t>紧紧围绕“搬得出、稳得住、能脱贫、可发展、逐步能致富”的目标，立足不同类型安置点资源禀赋和搬迁群众生产生活实际，构建完善的帮扶体系，扎实做好公共服务、产业培育、社区管理等后续扶持工作，确保搬迁群众快速融入、安心生活、稳定脱贫、发展致富，不断提升搬迁群众的获得感、幸福感、安全感。</w:t>
      </w:r>
      <w:r>
        <w:rPr>
          <w:rFonts w:hint="eastAsia" w:ascii="仿宋" w:hAnsi="仿宋" w:eastAsia="仿宋" w:cs="仿宋"/>
          <w:b w:val="0"/>
          <w:bCs w:val="0"/>
          <w:sz w:val="32"/>
          <w:szCs w:val="32"/>
          <w:highlight w:val="none"/>
        </w:rPr>
        <w:t>补齐缺项，留有余地</w:t>
      </w:r>
      <w:r>
        <w:rPr>
          <w:rFonts w:hint="eastAsia" w:ascii="仿宋" w:hAnsi="仿宋" w:eastAsia="仿宋" w:cs="仿宋"/>
          <w:b w:val="0"/>
          <w:bCs w:val="0"/>
          <w:sz w:val="32"/>
          <w:szCs w:val="32"/>
          <w:highlight w:val="none"/>
          <w:lang w:eastAsia="zh-CN"/>
        </w:rPr>
        <w:t>。</w:t>
      </w:r>
      <w:r>
        <w:rPr>
          <w:rFonts w:hint="eastAsia" w:ascii="仿宋" w:hAnsi="仿宋" w:eastAsia="仿宋" w:cs="仿宋"/>
          <w:sz w:val="32"/>
          <w:szCs w:val="32"/>
          <w:highlight w:val="none"/>
        </w:rPr>
        <w:t>在全面摸清底数的基础上，按照“缺什么补什么”和“适当留有余地”的原则，在充分利用现有公共服务资源的基础上，抓重点、补短板、强弱项、保基本，完善好配套公共服务设施和产业就业设施建设，切实解决好搬迁群众就学、就医及就地就业问题。</w:t>
      </w:r>
      <w:r>
        <w:rPr>
          <w:rFonts w:hint="eastAsia" w:ascii="仿宋" w:hAnsi="仿宋" w:eastAsia="仿宋" w:cs="仿宋"/>
          <w:b w:val="0"/>
          <w:bCs w:val="0"/>
          <w:sz w:val="32"/>
          <w:szCs w:val="32"/>
          <w:highlight w:val="none"/>
        </w:rPr>
        <w:t>拓宽就业</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rPr>
        <w:t>完善服务。</w:t>
      </w:r>
      <w:r>
        <w:rPr>
          <w:rFonts w:hint="eastAsia" w:ascii="仿宋" w:hAnsi="仿宋" w:eastAsia="仿宋" w:cs="仿宋"/>
          <w:b w:val="0"/>
          <w:bCs w:val="0"/>
          <w:color w:val="000000"/>
          <w:sz w:val="32"/>
          <w:szCs w:val="32"/>
          <w:highlight w:val="none"/>
          <w:lang w:val="en-US" w:eastAsia="zh-CN"/>
        </w:rPr>
        <w:t>通过</w:t>
      </w:r>
      <w:r>
        <w:rPr>
          <w:rFonts w:hint="eastAsia" w:ascii="仿宋" w:hAnsi="仿宋" w:eastAsia="仿宋" w:cs="仿宋"/>
          <w:sz w:val="32"/>
          <w:szCs w:val="32"/>
          <w:highlight w:val="none"/>
        </w:rPr>
        <w:t>用活用足公益性岗位政策，</w:t>
      </w:r>
      <w:r>
        <w:rPr>
          <w:rFonts w:hint="eastAsia" w:ascii="仿宋" w:hAnsi="仿宋" w:eastAsia="仿宋" w:cs="仿宋"/>
          <w:color w:val="auto"/>
          <w:sz w:val="32"/>
          <w:szCs w:val="32"/>
          <w:highlight w:val="none"/>
          <w:lang w:val="en-US" w:eastAsia="zh-CN"/>
        </w:rPr>
        <w:t>“开辟扶贫车间拓岗位、开发集体菜园减开支、建设农贸市场优服务、抓好产业就业促增收”和</w:t>
      </w:r>
      <w:r>
        <w:rPr>
          <w:rFonts w:hint="eastAsia" w:ascii="仿宋" w:hAnsi="仿宋" w:eastAsia="仿宋" w:cs="仿宋"/>
          <w:sz w:val="32"/>
          <w:szCs w:val="32"/>
          <w:highlight w:val="none"/>
          <w:lang w:val="en-US" w:eastAsia="zh-CN"/>
        </w:rPr>
        <w:t>农村劳务经纪人分片包干服务等措施，共解决9000余名易地扶贫搬迁群众就业问题。</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600" w:lineRule="exact"/>
        <w:ind w:right="0" w:rightChars="0" w:firstLine="643" w:firstLineChars="200"/>
        <w:jc w:val="both"/>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b/>
          <w:bCs/>
          <w:sz w:val="32"/>
          <w:szCs w:val="32"/>
          <w:highlight w:val="none"/>
          <w:lang w:val="en-US" w:eastAsia="zh-CN"/>
        </w:rPr>
        <w:t>(十一）成绩十一：推进社会信用体系建设。</w:t>
      </w:r>
      <w:r>
        <w:rPr>
          <w:rFonts w:hint="eastAsia" w:ascii="仿宋" w:hAnsi="仿宋" w:eastAsia="仿宋" w:cs="仿宋"/>
          <w:sz w:val="32"/>
          <w:szCs w:val="32"/>
          <w:highlight w:val="none"/>
        </w:rPr>
        <w:t>为了推动我县信用信息管理工作，发挥社会信用体系建设在政府现代化管理</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社会治理创新</w:t>
      </w:r>
      <w:r>
        <w:rPr>
          <w:rFonts w:hint="eastAsia" w:ascii="仿宋" w:hAnsi="仿宋" w:eastAsia="仿宋" w:cs="仿宋"/>
          <w:sz w:val="32"/>
          <w:szCs w:val="32"/>
          <w:highlight w:val="none"/>
          <w:lang w:eastAsia="zh-CN"/>
        </w:rPr>
        <w:t>及</w:t>
      </w:r>
      <w:r>
        <w:rPr>
          <w:rFonts w:hint="eastAsia" w:ascii="仿宋" w:hAnsi="仿宋" w:eastAsia="仿宋" w:cs="Times New Roman"/>
          <w:sz w:val="32"/>
          <w:szCs w:val="32"/>
        </w:rPr>
        <w:t>政务服务领域</w:t>
      </w:r>
      <w:r>
        <w:rPr>
          <w:rFonts w:hint="eastAsia" w:ascii="仿宋" w:hAnsi="仿宋" w:eastAsia="仿宋" w:cs="仿宋"/>
          <w:sz w:val="32"/>
          <w:szCs w:val="32"/>
          <w:highlight w:val="none"/>
        </w:rPr>
        <w:t>的作用</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加强事中、事后监管，建立新型监管机制</w:t>
      </w:r>
      <w:r>
        <w:rPr>
          <w:rFonts w:hint="eastAsia" w:ascii="仿宋" w:hAnsi="仿宋" w:eastAsia="仿宋" w:cs="仿宋"/>
          <w:sz w:val="32"/>
          <w:szCs w:val="32"/>
          <w:highlight w:val="none"/>
          <w:lang w:eastAsia="zh-CN"/>
        </w:rPr>
        <w:t>，先后制定出台了</w:t>
      </w:r>
      <w:r>
        <w:rPr>
          <w:rFonts w:hint="eastAsia" w:ascii="仿宋" w:hAnsi="仿宋" w:eastAsia="仿宋" w:cs="仿宋"/>
          <w:sz w:val="32"/>
          <w:szCs w:val="32"/>
          <w:highlight w:val="none"/>
        </w:rPr>
        <w:t>《绥宁县社会信用体系建设工作制度》</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《绥宁县社会信用体系建设工作考核办法（意见征求稿）》</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《绥宁县全面推行信用承诺制工作实施方案》</w:t>
      </w:r>
      <w:r>
        <w:rPr>
          <w:rFonts w:hint="eastAsia" w:ascii="仿宋" w:hAnsi="仿宋" w:eastAsia="仿宋" w:cs="仿宋"/>
          <w:sz w:val="32"/>
          <w:szCs w:val="32"/>
          <w:highlight w:val="none"/>
          <w:lang w:eastAsia="zh-CN"/>
        </w:rPr>
        <w:t>和</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&lt;</w:t>
      </w:r>
      <w:r>
        <w:rPr>
          <w:rFonts w:hint="eastAsia" w:ascii="仿宋" w:hAnsi="仿宋" w:eastAsia="仿宋" w:cs="Times New Roman"/>
          <w:sz w:val="32"/>
          <w:szCs w:val="32"/>
        </w:rPr>
        <w:t>绥宁县发布信用红黑名单加快联合奖惩工作的实施方案</w:t>
      </w:r>
      <w:r>
        <w:rPr>
          <w:rFonts w:hint="eastAsia" w:ascii="仿宋" w:hAnsi="仿宋" w:eastAsia="仿宋" w:cs="Times New Roman"/>
          <w:sz w:val="32"/>
          <w:szCs w:val="32"/>
          <w:lang w:val="en-US" w:eastAsia="zh-CN"/>
        </w:rPr>
        <w:t>&gt;</w:t>
      </w:r>
      <w:r>
        <w:rPr>
          <w:rFonts w:hint="eastAsia" w:ascii="仿宋" w:hAnsi="仿宋" w:eastAsia="仿宋" w:cs="Times New Roman"/>
          <w:sz w:val="32"/>
          <w:szCs w:val="32"/>
        </w:rPr>
        <w:t>的通知</w:t>
      </w:r>
      <w:r>
        <w:rPr>
          <w:rFonts w:hint="eastAsia" w:ascii="仿宋" w:hAnsi="仿宋" w:eastAsia="仿宋" w:cs="Times New Roman"/>
          <w:sz w:val="32"/>
          <w:szCs w:val="32"/>
          <w:lang w:eastAsia="zh-CN"/>
        </w:rPr>
        <w:t>》</w:t>
      </w:r>
      <w:r>
        <w:rPr>
          <w:rFonts w:hint="eastAsia" w:ascii="仿宋" w:hAnsi="仿宋" w:eastAsia="仿宋" w:cs="Times New Roman"/>
          <w:sz w:val="32"/>
          <w:szCs w:val="32"/>
        </w:rPr>
        <w:t>，截至2022年9月底，我县累计进行信用核查326次，核查信用主体8795人次，进行核查反馈119次</w:t>
      </w:r>
      <w:r>
        <w:rPr>
          <w:rFonts w:hint="eastAsia" w:ascii="仿宋" w:hAnsi="仿宋" w:eastAsia="仿宋" w:cs="Times New Roman"/>
          <w:sz w:val="32"/>
          <w:szCs w:val="32"/>
          <w:lang w:eastAsia="zh-CN"/>
        </w:rPr>
        <w:t>。</w:t>
      </w:r>
      <w:r>
        <w:rPr>
          <w:rFonts w:hint="eastAsia" w:ascii="仿宋" w:hAnsi="仿宋" w:eastAsia="仿宋" w:cs="Times New Roman"/>
          <w:sz w:val="32"/>
          <w:szCs w:val="32"/>
        </w:rPr>
        <w:t>根据《邵阳市信用信息资源目录清单》（2021年版），从2021年四季度并入市平台至2022年三季度，共归集信用信息675768条，其中行政许可31537条，行政处罚516条，信用红名单125条，失信黑名单261条，证照信息16条，信用承诺3332条，双随机检查信息293条，荣誉表彰信息604条，行业信用评价信息1916条，其他基本信息637167条</w:t>
      </w:r>
      <w:r>
        <w:rPr>
          <w:rFonts w:hint="eastAsia" w:ascii="仿宋" w:hAnsi="仿宋" w:eastAsia="仿宋" w:cs="Times New Roman"/>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p>
    <w:p>
      <w:pPr>
        <w:pStyle w:val="6"/>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七、存在的问题及原因分析</w:t>
      </w:r>
    </w:p>
    <w:p>
      <w:pPr>
        <w:autoSpaceDN w:val="0"/>
        <w:rPr>
          <w:rFonts w:hint="eastAsia" w:ascii="仿宋" w:hAnsi="仿宋" w:eastAsia="仿宋"/>
          <w:color w:val="010101"/>
          <w:sz w:val="32"/>
          <w:szCs w:val="32"/>
          <w:lang w:eastAsia="zh-CN"/>
        </w:rPr>
      </w:pPr>
      <w:r>
        <w:rPr>
          <w:rFonts w:ascii="仿宋" w:hAnsi="仿宋" w:eastAsia="仿宋"/>
          <w:color w:val="010101"/>
          <w:sz w:val="32"/>
          <w:szCs w:val="32"/>
        </w:rPr>
        <w:t xml:space="preserve"> </w:t>
      </w:r>
      <w:r>
        <w:rPr>
          <w:rFonts w:hint="eastAsia" w:ascii="仿宋" w:hAnsi="仿宋" w:eastAsia="仿宋"/>
          <w:color w:val="010101"/>
          <w:sz w:val="32"/>
          <w:szCs w:val="32"/>
          <w:lang w:val="en-US" w:eastAsia="zh-CN"/>
        </w:rPr>
        <w:t xml:space="preserve">   </w:t>
      </w:r>
      <w:r>
        <w:rPr>
          <w:rFonts w:ascii="仿宋" w:hAnsi="仿宋" w:eastAsia="仿宋"/>
          <w:color w:val="010101"/>
          <w:sz w:val="32"/>
          <w:szCs w:val="32"/>
        </w:rPr>
        <w:t>（一）预算执行</w:t>
      </w:r>
      <w:r>
        <w:rPr>
          <w:rFonts w:hint="eastAsia" w:ascii="仿宋" w:hAnsi="仿宋" w:eastAsia="仿宋"/>
          <w:color w:val="010101"/>
          <w:sz w:val="32"/>
          <w:szCs w:val="32"/>
          <w:lang w:eastAsia="zh-CN"/>
        </w:rPr>
        <w:t>：</w:t>
      </w:r>
      <w:r>
        <w:rPr>
          <w:rFonts w:hint="eastAsia" w:ascii="仿宋" w:hAnsi="仿宋" w:eastAsia="仿宋" w:cs="仿宋"/>
          <w:color w:val="000000"/>
          <w:spacing w:val="-9"/>
          <w:sz w:val="32"/>
          <w:szCs w:val="32"/>
        </w:rPr>
        <w:t>预算控制率有待降低，除政策性因素以外，由于部分临时紧急或突发的工作任务导致追加预算。</w:t>
      </w:r>
    </w:p>
    <w:p>
      <w:pPr>
        <w:pStyle w:val="6"/>
        <w:shd w:val="clear" w:color="auto" w:fill="FFFFFF"/>
        <w:spacing w:before="0" w:beforeAutospacing="0" w:after="0" w:afterAutospacing="0" w:line="600" w:lineRule="exact"/>
        <w:ind w:firstLine="640" w:firstLineChars="200"/>
        <w:jc w:val="both"/>
        <w:rPr>
          <w:rFonts w:ascii="仿宋" w:hAnsi="仿宋" w:eastAsia="仿宋"/>
          <w:color w:val="010101"/>
          <w:sz w:val="32"/>
          <w:szCs w:val="32"/>
        </w:rPr>
      </w:pPr>
      <w:r>
        <w:rPr>
          <w:rFonts w:ascii="仿宋" w:hAnsi="仿宋" w:eastAsia="仿宋"/>
          <w:color w:val="010101"/>
          <w:sz w:val="32"/>
          <w:szCs w:val="32"/>
        </w:rPr>
        <w:t>（二）资产核算</w:t>
      </w:r>
      <w:r>
        <w:rPr>
          <w:rFonts w:hint="eastAsia" w:ascii="仿宋" w:hAnsi="仿宋" w:eastAsia="仿宋"/>
          <w:color w:val="010101"/>
          <w:sz w:val="32"/>
          <w:szCs w:val="32"/>
          <w:lang w:eastAsia="zh-CN"/>
        </w:rPr>
        <w:t>：</w:t>
      </w:r>
      <w:r>
        <w:rPr>
          <w:rFonts w:hint="eastAsia" w:ascii="仿宋" w:hAnsi="仿宋" w:eastAsia="仿宋" w:cs="仿宋"/>
          <w:color w:val="000000"/>
          <w:sz w:val="32"/>
          <w:szCs w:val="32"/>
        </w:rPr>
        <w:t>大额固定资产核算的确认条件出现不完整，导致固定资产划分不准确。部分项目资金未及时到位，但项目必须实施，所以资金出现相互挤占现象。</w:t>
      </w:r>
      <w:r>
        <w:rPr>
          <w:rFonts w:ascii="仿宋" w:hAnsi="仿宋" w:eastAsia="仿宋"/>
          <w:color w:val="010101"/>
          <w:sz w:val="32"/>
          <w:szCs w:val="32"/>
        </w:rPr>
        <w:t xml:space="preserve"> </w:t>
      </w:r>
    </w:p>
    <w:p>
      <w:pPr>
        <w:autoSpaceDN w:val="0"/>
        <w:ind w:firstLine="640" w:firstLineChars="200"/>
        <w:outlineLvl w:val="0"/>
        <w:rPr>
          <w:rFonts w:ascii="仿宋" w:hAnsi="仿宋" w:eastAsia="仿宋"/>
          <w:color w:val="010101"/>
          <w:sz w:val="32"/>
          <w:szCs w:val="32"/>
        </w:rPr>
      </w:pPr>
      <w:r>
        <w:rPr>
          <w:rFonts w:ascii="仿宋" w:hAnsi="仿宋" w:eastAsia="仿宋"/>
          <w:color w:val="010101"/>
          <w:sz w:val="32"/>
          <w:szCs w:val="32"/>
        </w:rPr>
        <w:t>（三）内部管理</w:t>
      </w:r>
      <w:r>
        <w:rPr>
          <w:rFonts w:hint="eastAsia" w:ascii="仿宋" w:hAnsi="仿宋" w:eastAsia="仿宋"/>
          <w:color w:val="010101"/>
          <w:sz w:val="32"/>
          <w:szCs w:val="32"/>
          <w:lang w:eastAsia="zh-CN"/>
        </w:rPr>
        <w:t>：</w:t>
      </w:r>
      <w:r>
        <w:rPr>
          <w:rFonts w:ascii="仿宋" w:hAnsi="仿宋" w:eastAsia="仿宋"/>
          <w:color w:val="010101"/>
          <w:sz w:val="32"/>
          <w:szCs w:val="32"/>
        </w:rPr>
        <w:t xml:space="preserve"> </w:t>
      </w:r>
      <w:r>
        <w:rPr>
          <w:rFonts w:hint="eastAsia" w:ascii="仿宋" w:hAnsi="仿宋" w:eastAsia="仿宋"/>
          <w:color w:val="010101"/>
          <w:sz w:val="32"/>
          <w:szCs w:val="32"/>
        </w:rPr>
        <w:t>本单位依据内部控制有关规定，制订了完整的内部控制制度，</w:t>
      </w:r>
      <w:r>
        <w:rPr>
          <w:rFonts w:hint="eastAsia" w:ascii="仿宋" w:hAnsi="仿宋" w:eastAsia="仿宋"/>
          <w:color w:val="010101"/>
          <w:sz w:val="32"/>
          <w:szCs w:val="32"/>
          <w:lang w:eastAsia="zh-CN"/>
        </w:rPr>
        <w:t>但</w:t>
      </w:r>
      <w:r>
        <w:rPr>
          <w:rFonts w:hint="eastAsia" w:ascii="仿宋" w:hAnsi="仿宋" w:eastAsia="仿宋"/>
          <w:color w:val="010101"/>
          <w:sz w:val="32"/>
          <w:szCs w:val="32"/>
        </w:rPr>
        <w:t>在执行中存在差异，如不相容岗位相</w:t>
      </w:r>
      <w:r>
        <w:rPr>
          <w:rFonts w:hint="eastAsia" w:ascii="仿宋" w:hAnsi="仿宋" w:eastAsia="仿宋"/>
          <w:color w:val="010101"/>
          <w:sz w:val="32"/>
          <w:szCs w:val="32"/>
          <w:lang w:eastAsia="zh-CN"/>
        </w:rPr>
        <w:t>互</w:t>
      </w:r>
      <w:r>
        <w:rPr>
          <w:rFonts w:hint="eastAsia" w:ascii="仿宋" w:hAnsi="仿宋" w:eastAsia="仿宋"/>
          <w:color w:val="010101"/>
          <w:sz w:val="32"/>
          <w:szCs w:val="32"/>
        </w:rPr>
        <w:t>分离存在缺陷，定期轮岗作得不够。</w:t>
      </w:r>
    </w:p>
    <w:p>
      <w:pPr>
        <w:autoSpaceDN w:val="0"/>
        <w:ind w:firstLine="640" w:firstLineChars="200"/>
        <w:outlineLvl w:val="0"/>
        <w:rPr>
          <w:rFonts w:ascii="仿宋" w:hAnsi="仿宋" w:eastAsia="仿宋"/>
          <w:color w:val="010101"/>
          <w:sz w:val="32"/>
          <w:szCs w:val="32"/>
        </w:rPr>
      </w:pPr>
      <w:r>
        <w:rPr>
          <w:rFonts w:ascii="仿宋" w:hAnsi="仿宋" w:eastAsia="仿宋"/>
          <w:color w:val="010101"/>
          <w:sz w:val="32"/>
          <w:szCs w:val="32"/>
        </w:rPr>
        <w:t>（四）经费保障</w:t>
      </w:r>
      <w:r>
        <w:rPr>
          <w:rFonts w:hint="eastAsia" w:ascii="仿宋" w:hAnsi="仿宋" w:eastAsia="仿宋"/>
          <w:color w:val="010101"/>
          <w:sz w:val="32"/>
          <w:szCs w:val="32"/>
          <w:lang w:eastAsia="zh-CN"/>
        </w:rPr>
        <w:t>：</w:t>
      </w:r>
      <w:r>
        <w:rPr>
          <w:rFonts w:ascii="仿宋" w:hAnsi="仿宋" w:eastAsia="仿宋"/>
          <w:color w:val="010101"/>
          <w:sz w:val="32"/>
          <w:szCs w:val="32"/>
        </w:rPr>
        <w:t xml:space="preserve"> </w:t>
      </w:r>
      <w:r>
        <w:rPr>
          <w:rFonts w:hint="eastAsia" w:ascii="仿宋" w:hAnsi="仿宋" w:eastAsia="仿宋"/>
          <w:color w:val="010101"/>
          <w:sz w:val="32"/>
          <w:szCs w:val="32"/>
        </w:rPr>
        <w:t>由于单位经费支出年初预算偏紧，本单位的收入基本上为财政拨款收入，一些项目经费保障不</w:t>
      </w:r>
      <w:r>
        <w:rPr>
          <w:rFonts w:hint="eastAsia" w:ascii="仿宋" w:hAnsi="仿宋" w:eastAsia="仿宋"/>
          <w:color w:val="010101"/>
          <w:sz w:val="32"/>
          <w:szCs w:val="32"/>
          <w:lang w:eastAsia="zh-CN"/>
        </w:rPr>
        <w:t>够。</w:t>
      </w:r>
    </w:p>
    <w:p>
      <w:pPr>
        <w:pStyle w:val="6"/>
        <w:widowControl/>
        <w:shd w:val="clear" w:color="auto" w:fill="FFFFFF"/>
        <w:spacing w:beforeAutospacing="0" w:afterAutospacing="0" w:line="480" w:lineRule="atLeast"/>
        <w:ind w:left="64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八、下一步改进措施</w:t>
      </w:r>
    </w:p>
    <w:p>
      <w:pPr>
        <w:pStyle w:val="6"/>
        <w:widowControl/>
        <w:shd w:val="clear" w:color="auto" w:fill="FFFFFF"/>
        <w:spacing w:beforeAutospacing="0" w:afterAutospacing="0" w:line="4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shd w:val="clear" w:color="auto" w:fill="FFFFFF"/>
          <w:lang w:eastAsia="zh-CN"/>
        </w:rPr>
        <w:t>（一）</w:t>
      </w:r>
      <w:r>
        <w:rPr>
          <w:rFonts w:hint="eastAsia" w:ascii="仿宋" w:hAnsi="仿宋" w:eastAsia="仿宋" w:cs="仿宋"/>
          <w:color w:val="000000"/>
          <w:sz w:val="32"/>
          <w:szCs w:val="32"/>
          <w:shd w:val="clear" w:color="auto" w:fill="FFFFFF"/>
        </w:rPr>
        <w:t>、确保专项经费足额到位。对年初人大通过的和中途追加的财政预算要认真落实，不留缺口，不虚列支出。对上级部门下拨的年度专项经费，要全部拨付到位。保证年度支出预算的完成。</w:t>
      </w:r>
    </w:p>
    <w:p>
      <w:pPr>
        <w:pStyle w:val="6"/>
        <w:shd w:val="clear" w:color="auto" w:fill="FFFFFF"/>
        <w:spacing w:before="0" w:beforeAutospacing="0" w:after="0" w:afterAutospacing="0" w:line="600" w:lineRule="exact"/>
        <w:ind w:firstLine="640"/>
        <w:jc w:val="both"/>
        <w:rPr>
          <w:rFonts w:hint="eastAsia" w:ascii="仿宋" w:hAnsi="仿宋" w:eastAsia="仿宋" w:cs="仿宋"/>
          <w:color w:val="000000"/>
          <w:sz w:val="32"/>
          <w:szCs w:val="32"/>
        </w:rPr>
      </w:pPr>
      <w:r>
        <w:rPr>
          <w:rFonts w:hint="eastAsia" w:ascii="仿宋" w:hAnsi="仿宋" w:eastAsia="仿宋" w:cs="仿宋"/>
          <w:color w:val="000000"/>
          <w:sz w:val="32"/>
          <w:szCs w:val="32"/>
          <w:shd w:val="clear" w:color="auto" w:fill="FFFFFF"/>
          <w:lang w:eastAsia="zh-CN"/>
        </w:rPr>
        <w:t>（二）</w:t>
      </w:r>
      <w:r>
        <w:rPr>
          <w:rFonts w:hint="eastAsia" w:ascii="仿宋" w:hAnsi="仿宋" w:eastAsia="仿宋" w:cs="仿宋"/>
          <w:color w:val="000000"/>
          <w:sz w:val="32"/>
          <w:szCs w:val="32"/>
          <w:shd w:val="clear" w:color="auto" w:fill="FFFFFF"/>
        </w:rPr>
        <w:t>、完善固定资产核算确认条件。规范资金管理行为，加大监管检查力度。一是规范专项资金的分配，必须按照“公平、公正、公开”的原则来分配。按时完成年度所有专项的拨付。二是加强对专项资金申报、使用过程的监督检查。每年进行一次年度专项资金定期督查和多次不定期抽查，采取重点检查、分片检查、抽样检查的形式开展。严把每个关节，使每一笔资金落到实处、落到点上严格督促对核定的行政经费实行专款专用，严禁日常公用定额与项目经费相互挤占。</w:t>
      </w:r>
    </w:p>
    <w:p>
      <w:pPr>
        <w:pStyle w:val="6"/>
        <w:shd w:val="clear" w:color="auto" w:fill="FFFFFF"/>
        <w:spacing w:before="0" w:beforeAutospacing="0" w:after="0" w:afterAutospacing="0" w:line="600" w:lineRule="exact"/>
        <w:ind w:firstLine="640"/>
        <w:jc w:val="both"/>
        <w:rPr>
          <w:rFonts w:hint="eastAsia" w:ascii="仿宋" w:hAnsi="仿宋" w:eastAsia="仿宋" w:cs="仿宋"/>
          <w:color w:val="000000"/>
          <w:sz w:val="32"/>
          <w:szCs w:val="32"/>
        </w:rPr>
      </w:pPr>
      <w:r>
        <w:rPr>
          <w:rFonts w:hint="eastAsia" w:ascii="仿宋" w:hAnsi="仿宋" w:eastAsia="仿宋" w:cs="仿宋"/>
          <w:color w:val="000000"/>
          <w:sz w:val="32"/>
          <w:szCs w:val="32"/>
          <w:shd w:val="clear" w:color="auto" w:fill="FFFFFF"/>
          <w:lang w:eastAsia="zh-CN"/>
        </w:rPr>
        <w:t>（三）</w:t>
      </w:r>
      <w:r>
        <w:rPr>
          <w:rFonts w:hint="eastAsia" w:ascii="仿宋" w:hAnsi="仿宋" w:eastAsia="仿宋" w:cs="仿宋"/>
          <w:color w:val="000000"/>
          <w:sz w:val="32"/>
          <w:szCs w:val="32"/>
          <w:shd w:val="clear" w:color="auto" w:fill="FFFFFF"/>
        </w:rPr>
        <w:t>、认真解决机关内部管理中的规范化问题，建立和完善相关的各项内部管理制度。</w:t>
      </w:r>
    </w:p>
    <w:p>
      <w:pPr>
        <w:autoSpaceDN w:val="0"/>
        <w:ind w:firstLine="640" w:firstLineChars="200"/>
        <w:outlineLvl w:val="0"/>
        <w:rPr>
          <w:rFonts w:hint="eastAsia" w:ascii="仿宋" w:hAnsi="仿宋" w:eastAsia="仿宋" w:cs="仿宋"/>
          <w:color w:val="010101"/>
          <w:sz w:val="32"/>
          <w:szCs w:val="32"/>
        </w:rPr>
      </w:pPr>
      <w:r>
        <w:rPr>
          <w:rFonts w:hint="eastAsia" w:ascii="仿宋" w:hAnsi="仿宋" w:eastAsia="仿宋" w:cs="仿宋"/>
          <w:color w:val="000000"/>
          <w:sz w:val="32"/>
          <w:szCs w:val="32"/>
          <w:shd w:val="clear" w:color="auto" w:fill="FFFFFF"/>
          <w:lang w:eastAsia="zh-CN"/>
        </w:rPr>
        <w:t>（四）</w:t>
      </w:r>
      <w:r>
        <w:rPr>
          <w:rFonts w:hint="eastAsia" w:ascii="仿宋" w:hAnsi="仿宋" w:eastAsia="仿宋" w:cs="仿宋"/>
          <w:color w:val="000000"/>
          <w:sz w:val="32"/>
          <w:szCs w:val="32"/>
          <w:shd w:val="clear" w:color="auto" w:fill="FFFFFF"/>
        </w:rPr>
        <w:t>、加强预算管理，规范财务管理行为。合理安排经费，优化支出结构。</w:t>
      </w:r>
    </w:p>
    <w:p>
      <w:pPr>
        <w:pStyle w:val="4"/>
        <w:numPr>
          <w:ilvl w:val="0"/>
          <w:numId w:val="0"/>
        </w:numPr>
        <w:ind w:left="960" w:leftChars="0"/>
      </w:pPr>
    </w:p>
    <w:p>
      <w:pPr>
        <w:autoSpaceDN w:val="0"/>
        <w:ind w:firstLine="630"/>
        <w:rPr>
          <w:rFonts w:ascii="仿宋" w:hAnsi="仿宋" w:eastAsia="仿宋"/>
          <w:color w:val="010101"/>
          <w:sz w:val="32"/>
          <w:szCs w:val="32"/>
        </w:rPr>
      </w:pPr>
      <w:r>
        <w:rPr>
          <w:rFonts w:ascii="仿宋" w:hAnsi="仿宋" w:eastAsia="仿宋"/>
          <w:color w:val="010101"/>
          <w:sz w:val="32"/>
          <w:szCs w:val="32"/>
        </w:rPr>
        <w:t>　</w:t>
      </w:r>
    </w:p>
    <w:p>
      <w:pPr>
        <w:autoSpaceDN w:val="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附件：1.部门整体支出绩效评价基础数据表</w:t>
      </w:r>
    </w:p>
    <w:p>
      <w:pPr>
        <w:pStyle w:val="6"/>
        <w:widowControl/>
        <w:shd w:val="clear" w:color="auto" w:fill="FFFFFF"/>
        <w:spacing w:beforeAutospacing="0" w:afterAutospacing="0" w:line="480" w:lineRule="atLeast"/>
        <w:ind w:firstLine="1609" w:firstLineChars="503"/>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2.部门整体支出绩效自评表</w:t>
      </w:r>
    </w:p>
    <w:p>
      <w:pPr>
        <w:pStyle w:val="6"/>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pPr>
        <w:pStyle w:val="6"/>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pPr>
        <w:pStyle w:val="6"/>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6"/>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6"/>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6"/>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6"/>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6"/>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6"/>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6"/>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6"/>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6"/>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6"/>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6"/>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6"/>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附件1</w:t>
      </w:r>
    </w:p>
    <w:p>
      <w:pPr>
        <w:pStyle w:val="6"/>
        <w:widowControl/>
        <w:shd w:val="clear" w:color="auto" w:fill="FFFFFF"/>
        <w:spacing w:beforeAutospacing="0" w:afterAutospacing="0" w:line="480" w:lineRule="atLeast"/>
        <w:ind w:firstLine="980" w:firstLineChars="350"/>
        <w:jc w:val="both"/>
        <w:rPr>
          <w:rFonts w:ascii="黑体" w:hAnsi="黑体" w:eastAsia="黑体" w:cs="黑体"/>
          <w:spacing w:val="-20"/>
          <w:sz w:val="32"/>
          <w:szCs w:val="32"/>
        </w:rPr>
      </w:pPr>
      <w:r>
        <w:rPr>
          <w:rFonts w:hint="eastAsia" w:ascii="黑体" w:hAnsi="黑体" w:eastAsia="黑体" w:cs="黑体"/>
          <w:spacing w:val="-20"/>
          <w:sz w:val="32"/>
          <w:szCs w:val="32"/>
        </w:rPr>
        <w:t>2022年度部门整体支出绩效评价基础数据表</w:t>
      </w:r>
    </w:p>
    <w:p>
      <w:pPr>
        <w:spacing w:line="200" w:lineRule="exact"/>
        <w:jc w:val="center"/>
        <w:rPr>
          <w:rFonts w:eastAsia="方正小标宋_GBK"/>
          <w:sz w:val="44"/>
        </w:rPr>
      </w:pPr>
    </w:p>
    <w:tbl>
      <w:tblPr>
        <w:tblStyle w:val="7"/>
        <w:tblW w:w="10045" w:type="dxa"/>
        <w:jc w:val="center"/>
        <w:tblLayout w:type="fixed"/>
        <w:tblCellMar>
          <w:top w:w="0" w:type="dxa"/>
          <w:left w:w="108" w:type="dxa"/>
          <w:bottom w:w="0" w:type="dxa"/>
          <w:right w:w="108" w:type="dxa"/>
        </w:tblCellMar>
      </w:tblPr>
      <w:tblGrid>
        <w:gridCol w:w="3543"/>
        <w:gridCol w:w="1207"/>
        <w:gridCol w:w="930"/>
        <w:gridCol w:w="945"/>
        <w:gridCol w:w="1110"/>
        <w:gridCol w:w="1155"/>
        <w:gridCol w:w="1155"/>
      </w:tblGrid>
      <w:tr>
        <w:tblPrEx>
          <w:tblCellMar>
            <w:top w:w="0" w:type="dxa"/>
            <w:left w:w="108" w:type="dxa"/>
            <w:bottom w:w="0" w:type="dxa"/>
            <w:right w:w="108" w:type="dxa"/>
          </w:tblCellMar>
        </w:tblPrEx>
        <w:trPr>
          <w:jc w:val="center"/>
        </w:trPr>
        <w:tc>
          <w:tcPr>
            <w:tcW w:w="354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 w:val="32"/>
                <w:szCs w:val="21"/>
              </w:rPr>
            </w:pPr>
            <w:r>
              <w:rPr>
                <w:rFonts w:hint="eastAsia" w:ascii="仿宋" w:hAnsi="仿宋" w:eastAsia="仿宋" w:cs="仿宋"/>
                <w:b/>
                <w:bCs/>
                <w:kern w:val="0"/>
                <w:szCs w:val="21"/>
              </w:rPr>
              <w:t>财政供养人员情况（人）</w:t>
            </w:r>
          </w:p>
        </w:tc>
        <w:tc>
          <w:tcPr>
            <w:tcW w:w="213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b/>
                <w:bCs/>
                <w:kern w:val="0"/>
                <w:szCs w:val="21"/>
              </w:rPr>
            </w:pPr>
            <w:r>
              <w:rPr>
                <w:rFonts w:hint="eastAsia" w:ascii="仿宋" w:hAnsi="仿宋" w:eastAsia="仿宋" w:cs="仿宋"/>
                <w:b/>
                <w:bCs/>
                <w:kern w:val="0"/>
                <w:szCs w:val="21"/>
              </w:rPr>
              <w:t>编制数</w:t>
            </w:r>
          </w:p>
        </w:tc>
        <w:tc>
          <w:tcPr>
            <w:tcW w:w="205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b/>
                <w:bCs/>
                <w:kern w:val="0"/>
                <w:szCs w:val="21"/>
              </w:rPr>
            </w:pPr>
            <w:r>
              <w:rPr>
                <w:rFonts w:hint="eastAsia" w:ascii="仿宋" w:hAnsi="仿宋" w:eastAsia="仿宋" w:cs="仿宋"/>
                <w:b/>
                <w:bCs/>
                <w:kern w:val="0"/>
                <w:szCs w:val="21"/>
              </w:rPr>
              <w:t>2022年实际在职人数</w:t>
            </w:r>
          </w:p>
        </w:tc>
        <w:tc>
          <w:tcPr>
            <w:tcW w:w="2310"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b/>
                <w:bCs/>
                <w:kern w:val="0"/>
                <w:szCs w:val="21"/>
              </w:rPr>
            </w:pPr>
            <w:r>
              <w:rPr>
                <w:rFonts w:hint="eastAsia" w:ascii="仿宋" w:hAnsi="仿宋" w:eastAsia="仿宋" w:cs="仿宋"/>
                <w:b/>
                <w:bCs/>
                <w:kern w:val="0"/>
                <w:szCs w:val="21"/>
              </w:rPr>
              <w:t>控制率</w:t>
            </w:r>
          </w:p>
        </w:tc>
      </w:tr>
      <w:tr>
        <w:tblPrEx>
          <w:tblCellMar>
            <w:top w:w="0" w:type="dxa"/>
            <w:left w:w="108" w:type="dxa"/>
            <w:bottom w:w="0" w:type="dxa"/>
            <w:right w:w="108" w:type="dxa"/>
          </w:tblCellMar>
        </w:tblPrEx>
        <w:trPr>
          <w:jc w:val="center"/>
        </w:trPr>
        <w:tc>
          <w:tcPr>
            <w:tcW w:w="354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left"/>
              <w:rPr>
                <w:rFonts w:ascii="仿宋" w:hAnsi="仿宋" w:eastAsia="仿宋" w:cs="仿宋"/>
                <w:kern w:val="0"/>
                <w:sz w:val="32"/>
                <w:szCs w:val="21"/>
              </w:rPr>
            </w:pPr>
          </w:p>
        </w:tc>
        <w:tc>
          <w:tcPr>
            <w:tcW w:w="213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68</w:t>
            </w:r>
          </w:p>
        </w:tc>
        <w:tc>
          <w:tcPr>
            <w:tcW w:w="205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71</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104.41%</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b/>
                <w:bCs/>
                <w:kern w:val="0"/>
                <w:szCs w:val="21"/>
              </w:rPr>
            </w:pPr>
            <w:r>
              <w:rPr>
                <w:rFonts w:hint="eastAsia" w:ascii="仿宋" w:hAnsi="仿宋" w:eastAsia="仿宋" w:cs="仿宋"/>
                <w:b/>
                <w:bCs/>
                <w:kern w:val="0"/>
                <w:szCs w:val="21"/>
              </w:rPr>
              <w:t>经费控制情况（万元）</w:t>
            </w:r>
          </w:p>
        </w:tc>
        <w:tc>
          <w:tcPr>
            <w:tcW w:w="213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b/>
                <w:bCs/>
                <w:kern w:val="0"/>
                <w:szCs w:val="21"/>
              </w:rPr>
            </w:pPr>
            <w:r>
              <w:rPr>
                <w:rFonts w:hint="eastAsia" w:ascii="仿宋" w:hAnsi="仿宋" w:eastAsia="仿宋" w:cs="仿宋"/>
                <w:b/>
                <w:bCs/>
                <w:kern w:val="0"/>
                <w:szCs w:val="21"/>
              </w:rPr>
              <w:t>2021年决算数</w:t>
            </w:r>
          </w:p>
        </w:tc>
        <w:tc>
          <w:tcPr>
            <w:tcW w:w="2055"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b/>
                <w:bCs/>
                <w:kern w:val="0"/>
                <w:szCs w:val="21"/>
              </w:rPr>
            </w:pPr>
            <w:r>
              <w:rPr>
                <w:rFonts w:hint="eastAsia" w:ascii="仿宋" w:hAnsi="仿宋" w:eastAsia="仿宋" w:cs="仿宋"/>
                <w:b/>
                <w:bCs/>
                <w:kern w:val="0"/>
                <w:szCs w:val="21"/>
              </w:rPr>
              <w:t>2022年预算数</w:t>
            </w:r>
          </w:p>
        </w:tc>
        <w:tc>
          <w:tcPr>
            <w:tcW w:w="231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b/>
                <w:bCs/>
                <w:kern w:val="0"/>
                <w:szCs w:val="21"/>
              </w:rPr>
            </w:pPr>
            <w:r>
              <w:rPr>
                <w:rFonts w:hint="eastAsia" w:ascii="仿宋" w:hAnsi="仿宋" w:eastAsia="仿宋" w:cs="仿宋"/>
                <w:b/>
                <w:bCs/>
                <w:kern w:val="0"/>
                <w:szCs w:val="21"/>
              </w:rPr>
              <w:t>2022年决算数</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rPr>
                <w:rFonts w:ascii="仿宋" w:hAnsi="仿宋" w:eastAsia="仿宋" w:cs="仿宋"/>
                <w:kern w:val="0"/>
                <w:szCs w:val="21"/>
              </w:rPr>
            </w:pPr>
            <w:r>
              <w:rPr>
                <w:rFonts w:hint="eastAsia" w:ascii="仿宋" w:hAnsi="仿宋" w:eastAsia="仿宋" w:cs="仿宋"/>
                <w:b/>
                <w:bCs/>
                <w:kern w:val="0"/>
                <w:szCs w:val="21"/>
              </w:rPr>
              <w:t>三公经费</w:t>
            </w:r>
          </w:p>
        </w:tc>
        <w:tc>
          <w:tcPr>
            <w:tcW w:w="213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6.31</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5.98</w:t>
            </w:r>
          </w:p>
        </w:tc>
        <w:tc>
          <w:tcPr>
            <w:tcW w:w="231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5.98</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rPr>
              <w:t xml:space="preserve">   1、公务用车购置和维护经费</w:t>
            </w:r>
          </w:p>
        </w:tc>
        <w:tc>
          <w:tcPr>
            <w:tcW w:w="213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rPr>
              <w:t>其中：公车购置</w:t>
            </w:r>
          </w:p>
        </w:tc>
        <w:tc>
          <w:tcPr>
            <w:tcW w:w="213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rPr>
              <w:t>公车运行维护</w:t>
            </w:r>
          </w:p>
        </w:tc>
        <w:tc>
          <w:tcPr>
            <w:tcW w:w="213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firstLine="420" w:firstLineChars="200"/>
              <w:rPr>
                <w:rFonts w:ascii="仿宋" w:hAnsi="仿宋" w:eastAsia="仿宋" w:cs="仿宋"/>
                <w:kern w:val="0"/>
                <w:szCs w:val="21"/>
              </w:rPr>
            </w:pPr>
            <w:r>
              <w:rPr>
                <w:rFonts w:hint="eastAsia" w:ascii="仿宋" w:hAnsi="仿宋" w:eastAsia="仿宋" w:cs="仿宋"/>
                <w:kern w:val="0"/>
                <w:szCs w:val="21"/>
              </w:rPr>
              <w:t>2、出国经费</w:t>
            </w:r>
          </w:p>
        </w:tc>
        <w:tc>
          <w:tcPr>
            <w:tcW w:w="213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firstLine="420" w:firstLineChars="200"/>
              <w:rPr>
                <w:rFonts w:ascii="仿宋" w:hAnsi="仿宋" w:eastAsia="仿宋" w:cs="仿宋"/>
                <w:kern w:val="0"/>
                <w:szCs w:val="21"/>
              </w:rPr>
            </w:pPr>
            <w:r>
              <w:rPr>
                <w:rFonts w:hint="eastAsia" w:ascii="仿宋" w:hAnsi="仿宋" w:eastAsia="仿宋" w:cs="仿宋"/>
                <w:kern w:val="0"/>
                <w:szCs w:val="21"/>
              </w:rPr>
              <w:t>3、公务接待</w:t>
            </w:r>
          </w:p>
        </w:tc>
        <w:tc>
          <w:tcPr>
            <w:tcW w:w="213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6.31</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5.98</w:t>
            </w:r>
          </w:p>
        </w:tc>
        <w:tc>
          <w:tcPr>
            <w:tcW w:w="231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5.98</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rPr>
                <w:rFonts w:ascii="仿宋" w:hAnsi="仿宋" w:eastAsia="仿宋" w:cs="仿宋"/>
                <w:kern w:val="0"/>
                <w:szCs w:val="21"/>
              </w:rPr>
            </w:pPr>
            <w:r>
              <w:rPr>
                <w:rFonts w:hint="eastAsia" w:ascii="仿宋" w:hAnsi="仿宋" w:eastAsia="仿宋" w:cs="仿宋"/>
                <w:b/>
                <w:bCs/>
                <w:kern w:val="0"/>
                <w:szCs w:val="21"/>
              </w:rPr>
              <w:t>项目支出</w:t>
            </w:r>
          </w:p>
        </w:tc>
        <w:tc>
          <w:tcPr>
            <w:tcW w:w="213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1792.46</w:t>
            </w:r>
          </w:p>
        </w:tc>
        <w:tc>
          <w:tcPr>
            <w:tcW w:w="2055"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369</w:t>
            </w:r>
          </w:p>
        </w:tc>
        <w:tc>
          <w:tcPr>
            <w:tcW w:w="231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1683.44</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firstLine="315" w:firstLineChars="150"/>
              <w:rPr>
                <w:rFonts w:ascii="仿宋" w:hAnsi="仿宋" w:eastAsia="仿宋" w:cs="仿宋"/>
                <w:kern w:val="0"/>
                <w:szCs w:val="21"/>
              </w:rPr>
            </w:pPr>
            <w:r>
              <w:rPr>
                <w:rFonts w:hint="eastAsia" w:ascii="仿宋" w:hAnsi="仿宋" w:eastAsia="仿宋" w:cs="仿宋"/>
                <w:kern w:val="0"/>
                <w:szCs w:val="21"/>
              </w:rPr>
              <w:t xml:space="preserve"> 1、业务工作经费</w:t>
            </w:r>
          </w:p>
        </w:tc>
        <w:tc>
          <w:tcPr>
            <w:tcW w:w="213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512.36</w:t>
            </w:r>
          </w:p>
        </w:tc>
        <w:tc>
          <w:tcPr>
            <w:tcW w:w="2055"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609.5</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firstLine="420" w:firstLineChars="200"/>
              <w:rPr>
                <w:rFonts w:ascii="仿宋" w:hAnsi="仿宋" w:eastAsia="仿宋" w:cs="仿宋"/>
                <w:kern w:val="0"/>
                <w:szCs w:val="21"/>
              </w:rPr>
            </w:pPr>
            <w:r>
              <w:rPr>
                <w:rFonts w:hint="eastAsia" w:ascii="仿宋" w:hAnsi="仿宋" w:eastAsia="仿宋" w:cs="仿宋"/>
                <w:kern w:val="0"/>
                <w:szCs w:val="21"/>
              </w:rPr>
              <w:t>2、运行维护经费</w:t>
            </w:r>
          </w:p>
        </w:tc>
        <w:tc>
          <w:tcPr>
            <w:tcW w:w="213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136.28</w:t>
            </w:r>
          </w:p>
        </w:tc>
        <w:tc>
          <w:tcPr>
            <w:tcW w:w="2055"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142.36</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firstLine="420" w:firstLineChars="200"/>
              <w:rPr>
                <w:rFonts w:ascii="仿宋" w:hAnsi="仿宋" w:eastAsia="仿宋" w:cs="仿宋"/>
                <w:kern w:val="0"/>
                <w:szCs w:val="21"/>
              </w:rPr>
            </w:pPr>
            <w:r>
              <w:rPr>
                <w:rFonts w:hint="eastAsia" w:ascii="仿宋" w:hAnsi="仿宋" w:eastAsia="仿宋" w:cs="仿宋"/>
                <w:kern w:val="0"/>
                <w:szCs w:val="21"/>
              </w:rPr>
              <w:t>3、上级专项资金</w:t>
            </w:r>
          </w:p>
        </w:tc>
        <w:tc>
          <w:tcPr>
            <w:tcW w:w="213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1143.82</w:t>
            </w:r>
          </w:p>
        </w:tc>
        <w:tc>
          <w:tcPr>
            <w:tcW w:w="2055"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931.58</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firstLine="420" w:firstLineChars="200"/>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 xml:space="preserve">   易地扶贫搬迁专项资金</w:t>
            </w:r>
          </w:p>
        </w:tc>
        <w:tc>
          <w:tcPr>
            <w:tcW w:w="213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仿宋" w:hAnsi="仿宋" w:eastAsia="仿宋" w:cs="仿宋"/>
                <w:kern w:val="0"/>
                <w:szCs w:val="21"/>
                <w:lang w:val="en-US" w:eastAsia="zh-CN"/>
              </w:rPr>
            </w:pPr>
          </w:p>
        </w:tc>
        <w:tc>
          <w:tcPr>
            <w:tcW w:w="2055"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323</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rPr>
                <w:rFonts w:hint="eastAsia" w:ascii="仿宋" w:hAnsi="仿宋" w:eastAsia="仿宋" w:cs="仿宋"/>
                <w:kern w:val="0"/>
                <w:szCs w:val="21"/>
                <w:lang w:eastAsia="zh-CN"/>
              </w:rPr>
            </w:pPr>
            <w:r>
              <w:rPr>
                <w:rFonts w:hint="eastAsia" w:ascii="仿宋" w:hAnsi="仿宋" w:eastAsia="仿宋" w:cs="仿宋"/>
                <w:kern w:val="0"/>
                <w:szCs w:val="21"/>
              </w:rPr>
              <w:t xml:space="preserve">        </w:t>
            </w:r>
            <w:r>
              <w:rPr>
                <w:rFonts w:hint="eastAsia" w:ascii="仿宋" w:hAnsi="仿宋" w:eastAsia="仿宋" w:cs="仿宋"/>
                <w:kern w:val="0"/>
                <w:szCs w:val="21"/>
                <w:lang w:eastAsia="zh-CN"/>
              </w:rPr>
              <w:t>以工代赈专项资金</w:t>
            </w:r>
          </w:p>
        </w:tc>
        <w:tc>
          <w:tcPr>
            <w:tcW w:w="213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176.5</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rPr>
                <w:rFonts w:ascii="仿宋" w:hAnsi="仿宋" w:eastAsia="仿宋" w:cs="仿宋"/>
                <w:kern w:val="0"/>
                <w:szCs w:val="21"/>
              </w:rPr>
            </w:pPr>
            <w:r>
              <w:rPr>
                <w:rFonts w:hint="eastAsia" w:ascii="仿宋" w:hAnsi="仿宋" w:eastAsia="仿宋" w:cs="仿宋"/>
                <w:b/>
                <w:bCs/>
                <w:kern w:val="0"/>
                <w:szCs w:val="21"/>
              </w:rPr>
              <w:t>公用经费</w:t>
            </w:r>
          </w:p>
        </w:tc>
        <w:tc>
          <w:tcPr>
            <w:tcW w:w="213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880.1</w:t>
            </w:r>
          </w:p>
        </w:tc>
        <w:tc>
          <w:tcPr>
            <w:tcW w:w="2055"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104.62</w:t>
            </w:r>
          </w:p>
        </w:tc>
        <w:tc>
          <w:tcPr>
            <w:tcW w:w="231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660.3</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firstLine="420" w:firstLineChars="200"/>
              <w:rPr>
                <w:rFonts w:ascii="仿宋" w:hAnsi="仿宋" w:eastAsia="仿宋" w:cs="仿宋"/>
                <w:kern w:val="0"/>
                <w:szCs w:val="21"/>
              </w:rPr>
            </w:pPr>
            <w:r>
              <w:rPr>
                <w:rFonts w:hint="eastAsia" w:ascii="仿宋" w:hAnsi="仿宋" w:eastAsia="仿宋" w:cs="仿宋"/>
                <w:kern w:val="0"/>
                <w:szCs w:val="21"/>
              </w:rPr>
              <w:t>其中：办公经费</w:t>
            </w:r>
          </w:p>
        </w:tc>
        <w:tc>
          <w:tcPr>
            <w:tcW w:w="213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33.02</w:t>
            </w:r>
          </w:p>
        </w:tc>
        <w:tc>
          <w:tcPr>
            <w:tcW w:w="2055"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20.61</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rPr>
              <w:t xml:space="preserve">     水费、电费、差旅费</w:t>
            </w:r>
          </w:p>
        </w:tc>
        <w:tc>
          <w:tcPr>
            <w:tcW w:w="213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64.26</w:t>
            </w:r>
          </w:p>
        </w:tc>
        <w:tc>
          <w:tcPr>
            <w:tcW w:w="2055"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64.69</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rPr>
              <w:t xml:space="preserve"> 会议费、培训费</w:t>
            </w:r>
          </w:p>
        </w:tc>
        <w:tc>
          <w:tcPr>
            <w:tcW w:w="213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7.68</w:t>
            </w:r>
          </w:p>
        </w:tc>
        <w:tc>
          <w:tcPr>
            <w:tcW w:w="2055"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9.04</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rPr>
                <w:rFonts w:hint="default" w:ascii="仿宋" w:hAnsi="仿宋" w:eastAsia="仿宋" w:cs="仿宋"/>
                <w:b w:val="0"/>
                <w:bCs w:val="0"/>
                <w:kern w:val="0"/>
                <w:szCs w:val="21"/>
                <w:lang w:val="en-US" w:eastAsia="zh-CN"/>
              </w:rPr>
            </w:pPr>
            <w:r>
              <w:rPr>
                <w:rFonts w:hint="eastAsia" w:ascii="仿宋" w:hAnsi="仿宋" w:eastAsia="仿宋" w:cs="仿宋"/>
                <w:b w:val="0"/>
                <w:bCs w:val="0"/>
                <w:kern w:val="0"/>
                <w:szCs w:val="21"/>
                <w:lang w:val="en-US" w:eastAsia="zh-CN"/>
              </w:rPr>
              <w:t xml:space="preserve">         其他</w:t>
            </w:r>
          </w:p>
        </w:tc>
        <w:tc>
          <w:tcPr>
            <w:tcW w:w="213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仿宋" w:hAnsi="仿宋" w:eastAsia="仿宋" w:cs="仿宋"/>
                <w:b w:val="0"/>
                <w:bCs w:val="0"/>
                <w:kern w:val="0"/>
                <w:szCs w:val="21"/>
                <w:lang w:val="en-US" w:eastAsia="zh-CN"/>
              </w:rPr>
            </w:pPr>
            <w:r>
              <w:rPr>
                <w:rFonts w:hint="eastAsia" w:ascii="仿宋" w:hAnsi="仿宋" w:eastAsia="仿宋" w:cs="仿宋"/>
                <w:b w:val="0"/>
                <w:bCs w:val="0"/>
                <w:kern w:val="0"/>
                <w:szCs w:val="21"/>
                <w:lang w:val="en-US" w:eastAsia="zh-CN"/>
              </w:rPr>
              <w:t>775.14</w:t>
            </w:r>
          </w:p>
        </w:tc>
        <w:tc>
          <w:tcPr>
            <w:tcW w:w="2055"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 w:hAnsi="仿宋" w:eastAsia="仿宋" w:cs="仿宋"/>
                <w:b w:val="0"/>
                <w:bCs w:val="0"/>
                <w:kern w:val="0"/>
                <w:szCs w:val="21"/>
                <w:lang w:val="en-US" w:eastAsia="zh-CN"/>
              </w:rPr>
            </w:pPr>
            <w:r>
              <w:rPr>
                <w:rFonts w:hint="eastAsia" w:ascii="仿宋" w:hAnsi="仿宋" w:eastAsia="仿宋" w:cs="仿宋"/>
                <w:b w:val="0"/>
                <w:bCs w:val="0"/>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仿宋" w:hAnsi="仿宋" w:eastAsia="仿宋" w:cs="仿宋"/>
                <w:b w:val="0"/>
                <w:bCs w:val="0"/>
                <w:kern w:val="0"/>
                <w:szCs w:val="21"/>
                <w:lang w:val="en-US" w:eastAsia="zh-CN"/>
              </w:rPr>
            </w:pPr>
            <w:r>
              <w:rPr>
                <w:rFonts w:hint="eastAsia" w:ascii="仿宋" w:hAnsi="仿宋" w:eastAsia="仿宋" w:cs="仿宋"/>
                <w:b w:val="0"/>
                <w:bCs w:val="0"/>
                <w:kern w:val="0"/>
                <w:szCs w:val="21"/>
                <w:lang w:val="en-US" w:eastAsia="zh-CN"/>
              </w:rPr>
              <w:t>565.96</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rPr>
                <w:rFonts w:ascii="仿宋" w:hAnsi="仿宋" w:eastAsia="仿宋" w:cs="仿宋"/>
                <w:kern w:val="0"/>
                <w:szCs w:val="21"/>
              </w:rPr>
            </w:pPr>
            <w:r>
              <w:rPr>
                <w:rFonts w:hint="eastAsia" w:ascii="仿宋" w:hAnsi="仿宋" w:eastAsia="仿宋" w:cs="仿宋"/>
                <w:b/>
                <w:bCs/>
                <w:kern w:val="0"/>
                <w:szCs w:val="21"/>
              </w:rPr>
              <w:t>政府采购金额</w:t>
            </w:r>
          </w:p>
        </w:tc>
        <w:tc>
          <w:tcPr>
            <w:tcW w:w="213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983</w:t>
            </w:r>
            <w:r>
              <w:rPr>
                <w:rFonts w:hint="eastAsia" w:ascii="宋体" w:hAnsi="宋体" w:cs="宋体"/>
                <w:i w:val="0"/>
                <w:iCs w:val="0"/>
                <w:color w:val="000000"/>
                <w:kern w:val="0"/>
                <w:sz w:val="22"/>
                <w:szCs w:val="22"/>
                <w:u w:val="none"/>
                <w:lang w:val="en-US" w:eastAsia="zh-CN" w:bidi="ar"/>
              </w:rPr>
              <w:t>.70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rPr>
                <w:rFonts w:ascii="仿宋" w:hAnsi="仿宋" w:eastAsia="仿宋" w:cs="仿宋"/>
                <w:kern w:val="0"/>
                <w:szCs w:val="21"/>
              </w:rPr>
            </w:pPr>
            <w:r>
              <w:rPr>
                <w:rFonts w:hint="eastAsia" w:ascii="仿宋" w:hAnsi="仿宋" w:eastAsia="仿宋" w:cs="仿宋"/>
                <w:b/>
                <w:bCs/>
                <w:kern w:val="0"/>
                <w:szCs w:val="21"/>
              </w:rPr>
              <w:t>部门基本支出预算调整</w:t>
            </w:r>
          </w:p>
        </w:tc>
        <w:tc>
          <w:tcPr>
            <w:tcW w:w="213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p>
        </w:tc>
      </w:tr>
      <w:tr>
        <w:tblPrEx>
          <w:tblCellMar>
            <w:top w:w="0" w:type="dxa"/>
            <w:left w:w="108" w:type="dxa"/>
            <w:bottom w:w="0" w:type="dxa"/>
            <w:right w:w="108" w:type="dxa"/>
          </w:tblCellMar>
        </w:tblPrEx>
        <w:trPr>
          <w:trHeight w:val="795" w:hRule="atLeast"/>
          <w:jc w:val="center"/>
        </w:trPr>
        <w:tc>
          <w:tcPr>
            <w:tcW w:w="3543"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b/>
                <w:bCs/>
                <w:kern w:val="0"/>
                <w:szCs w:val="21"/>
              </w:rPr>
              <w:t>楼堂馆所控制情况</w:t>
            </w:r>
            <w:r>
              <w:rPr>
                <w:rFonts w:hint="eastAsia" w:ascii="仿宋" w:hAnsi="仿宋" w:eastAsia="仿宋" w:cs="仿宋"/>
                <w:b/>
                <w:bCs/>
                <w:kern w:val="0"/>
                <w:szCs w:val="21"/>
              </w:rPr>
              <w:br w:type="textWrapping"/>
            </w:r>
            <w:r>
              <w:rPr>
                <w:rFonts w:hint="eastAsia" w:ascii="仿宋" w:hAnsi="仿宋" w:eastAsia="仿宋" w:cs="仿宋"/>
                <w:b/>
                <w:bCs/>
                <w:kern w:val="0"/>
                <w:szCs w:val="21"/>
              </w:rPr>
              <w:t>（2022年完工项目）</w:t>
            </w:r>
          </w:p>
        </w:tc>
        <w:tc>
          <w:tcPr>
            <w:tcW w:w="12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rPr>
              <w:t>批复规模</w:t>
            </w:r>
            <w:r>
              <w:rPr>
                <w:rFonts w:hint="eastAsia" w:ascii="仿宋" w:hAnsi="仿宋" w:eastAsia="仿宋" w:cs="仿宋"/>
                <w:kern w:val="0"/>
                <w:szCs w:val="21"/>
              </w:rPr>
              <w:br w:type="textWrapping"/>
            </w:r>
            <w:r>
              <w:rPr>
                <w:rFonts w:hint="eastAsia" w:ascii="仿宋" w:hAnsi="仿宋" w:eastAsia="仿宋" w:cs="仿宋"/>
                <w:kern w:val="0"/>
                <w:szCs w:val="21"/>
              </w:rPr>
              <w:t>（㎡）</w:t>
            </w:r>
          </w:p>
        </w:tc>
        <w:tc>
          <w:tcPr>
            <w:tcW w:w="9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rPr>
              <w:t>实际规模（㎡）</w:t>
            </w:r>
          </w:p>
        </w:tc>
        <w:tc>
          <w:tcPr>
            <w:tcW w:w="94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rPr>
              <w:t>规模控制率</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rPr>
              <w:t>预算投资（万元）</w:t>
            </w:r>
          </w:p>
        </w:tc>
        <w:tc>
          <w:tcPr>
            <w:tcW w:w="115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rPr>
              <w:t>实际投资（万元）</w:t>
            </w:r>
          </w:p>
        </w:tc>
        <w:tc>
          <w:tcPr>
            <w:tcW w:w="115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rPr>
              <w:t>投资概算控制率</w:t>
            </w:r>
          </w:p>
        </w:tc>
      </w:tr>
      <w:tr>
        <w:tblPrEx>
          <w:tblCellMar>
            <w:top w:w="0" w:type="dxa"/>
            <w:left w:w="108" w:type="dxa"/>
            <w:bottom w:w="0" w:type="dxa"/>
            <w:right w:w="108" w:type="dxa"/>
          </w:tblCellMar>
        </w:tblPrEx>
        <w:trPr>
          <w:jc w:val="center"/>
        </w:trPr>
        <w:tc>
          <w:tcPr>
            <w:tcW w:w="354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p>
        </w:tc>
        <w:tc>
          <w:tcPr>
            <w:tcW w:w="12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9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0</w:t>
            </w:r>
          </w:p>
        </w:tc>
        <w:tc>
          <w:tcPr>
            <w:tcW w:w="94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0</w:t>
            </w:r>
          </w:p>
        </w:tc>
        <w:tc>
          <w:tcPr>
            <w:tcW w:w="115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115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1210" w:hRule="atLeast"/>
          <w:jc w:val="center"/>
        </w:trPr>
        <w:tc>
          <w:tcPr>
            <w:tcW w:w="354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ascii="仿宋" w:hAnsi="仿宋" w:eastAsia="仿宋" w:cs="仿宋"/>
                <w:kern w:val="0"/>
                <w:szCs w:val="21"/>
              </w:rPr>
            </w:pPr>
            <w:r>
              <w:rPr>
                <w:rFonts w:hint="eastAsia" w:ascii="仿宋" w:hAnsi="仿宋" w:eastAsia="仿宋" w:cs="仿宋"/>
                <w:b/>
                <w:bCs/>
                <w:kern w:val="0"/>
                <w:szCs w:val="21"/>
              </w:rPr>
              <w:t>厉行节约保障措施</w:t>
            </w:r>
          </w:p>
        </w:tc>
        <w:tc>
          <w:tcPr>
            <w:tcW w:w="6502" w:type="dxa"/>
            <w:gridSpan w:val="6"/>
            <w:tcBorders>
              <w:top w:val="single" w:color="auto" w:sz="4" w:space="0"/>
              <w:left w:val="nil"/>
              <w:bottom w:val="single" w:color="auto" w:sz="4" w:space="0"/>
              <w:right w:val="single" w:color="000000" w:sz="4" w:space="0"/>
            </w:tcBorders>
            <w:vAlign w:val="center"/>
          </w:tcPr>
          <w:p>
            <w:pPr>
              <w:keepNext w:val="0"/>
              <w:keepLines w:val="0"/>
              <w:suppressLineNumbers w:val="0"/>
              <w:spacing w:before="0" w:beforeAutospacing="0" w:after="0" w:afterAutospacing="0" w:line="240" w:lineRule="exact"/>
              <w:ind w:left="0" w:right="0" w:firstLine="315" w:firstLineChars="150"/>
              <w:rPr>
                <w:rFonts w:hint="eastAsia" w:ascii="仿宋" w:hAnsi="仿宋" w:eastAsia="仿宋" w:cs="仿宋"/>
                <w:kern w:val="0"/>
                <w:szCs w:val="21"/>
                <w:lang w:eastAsia="zh-CN"/>
              </w:rPr>
            </w:pPr>
            <w:r>
              <w:rPr>
                <w:rFonts w:hint="eastAsia" w:ascii="仿宋" w:hAnsi="仿宋" w:eastAsia="仿宋" w:cs="仿宋"/>
                <w:kern w:val="0"/>
                <w:szCs w:val="21"/>
                <w:lang w:eastAsia="zh-CN"/>
              </w:rPr>
              <w:t>严格执行预算管理，对公用经费和项目经费实行定额管理</w:t>
            </w:r>
          </w:p>
        </w:tc>
      </w:tr>
      <w:tr>
        <w:tblPrEx>
          <w:tblCellMar>
            <w:top w:w="0" w:type="dxa"/>
            <w:left w:w="108" w:type="dxa"/>
            <w:bottom w:w="0" w:type="dxa"/>
            <w:right w:w="108" w:type="dxa"/>
          </w:tblCellMar>
        </w:tblPrEx>
        <w:trPr>
          <w:trHeight w:val="865" w:hRule="atLeast"/>
          <w:jc w:val="center"/>
        </w:trPr>
        <w:tc>
          <w:tcPr>
            <w:tcW w:w="10045" w:type="dxa"/>
            <w:gridSpan w:val="7"/>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rPr>
                <w:rFonts w:eastAsia="仿宋_GB2312"/>
                <w:kern w:val="0"/>
                <w:szCs w:val="21"/>
              </w:rPr>
            </w:pPr>
            <w:r>
              <w:rPr>
                <w:rFonts w:eastAsia="仿宋_GB2312"/>
                <w:kern w:val="0"/>
                <w:szCs w:val="21"/>
              </w:rPr>
              <w:t>说明：“项目支出”需要填报基本支出以外的所有项目支出情况，“公用经费”填报基本支出中的一般商品和服务支出。</w:t>
            </w:r>
          </w:p>
          <w:p>
            <w:pPr>
              <w:keepNext w:val="0"/>
              <w:keepLines w:val="0"/>
              <w:suppressLineNumbers w:val="0"/>
              <w:spacing w:before="0" w:beforeAutospacing="0" w:after="0" w:afterAutospacing="0" w:line="240" w:lineRule="exact"/>
              <w:ind w:left="0" w:right="0" w:firstLine="315" w:firstLineChars="150"/>
              <w:rPr>
                <w:rFonts w:ascii="仿宋" w:hAnsi="仿宋" w:eastAsia="仿宋" w:cs="仿宋"/>
                <w:kern w:val="0"/>
                <w:szCs w:val="21"/>
              </w:rPr>
            </w:pPr>
          </w:p>
        </w:tc>
      </w:tr>
    </w:tbl>
    <w:p>
      <w:pPr>
        <w:widowControl/>
        <w:spacing w:line="240" w:lineRule="exact"/>
        <w:jc w:val="left"/>
        <w:rPr>
          <w:rFonts w:eastAsia="仿宋_GB2312"/>
          <w:kern w:val="0"/>
          <w:szCs w:val="21"/>
        </w:rPr>
      </w:pPr>
    </w:p>
    <w:p>
      <w:pPr>
        <w:spacing w:line="579" w:lineRule="exact"/>
        <w:rPr>
          <w:rFonts w:hint="eastAsia" w:ascii="黑体" w:hAnsi="黑体" w:eastAsia="黑体" w:cs="黑体"/>
          <w:color w:val="000000"/>
          <w:sz w:val="32"/>
          <w:szCs w:val="32"/>
        </w:rPr>
      </w:pPr>
    </w:p>
    <w:p>
      <w:pPr>
        <w:spacing w:line="579" w:lineRule="exact"/>
        <w:rPr>
          <w:rFonts w:ascii="黑体" w:hAnsi="黑体" w:eastAsia="黑体" w:cs="黑体"/>
          <w:color w:val="000000"/>
          <w:sz w:val="32"/>
          <w:szCs w:val="32"/>
        </w:rPr>
      </w:pPr>
      <w:r>
        <w:rPr>
          <w:rFonts w:hint="eastAsia" w:ascii="黑体" w:hAnsi="黑体" w:eastAsia="黑体" w:cs="黑体"/>
          <w:color w:val="000000"/>
          <w:sz w:val="32"/>
          <w:szCs w:val="32"/>
        </w:rPr>
        <w:t>附件1-2</w:t>
      </w:r>
    </w:p>
    <w:p>
      <w:pPr>
        <w:spacing w:line="300" w:lineRule="exact"/>
        <w:rPr>
          <w:rFonts w:eastAsia="黑体"/>
          <w:color w:val="000000"/>
          <w:sz w:val="32"/>
          <w:szCs w:val="32"/>
        </w:rPr>
      </w:pPr>
    </w:p>
    <w:p>
      <w:pPr>
        <w:spacing w:line="740" w:lineRule="exact"/>
        <w:jc w:val="center"/>
        <w:rPr>
          <w:rFonts w:ascii="黑体" w:hAnsi="黑体" w:eastAsia="黑体" w:cs="黑体"/>
          <w:sz w:val="32"/>
          <w:szCs w:val="32"/>
        </w:rPr>
      </w:pPr>
      <w:r>
        <w:rPr>
          <w:rFonts w:hint="eastAsia" w:ascii="黑体" w:hAnsi="黑体" w:eastAsia="黑体" w:cs="黑体"/>
          <w:sz w:val="32"/>
          <w:szCs w:val="32"/>
        </w:rPr>
        <w:t>2022年度部门整体支出绩效自评表</w:t>
      </w:r>
    </w:p>
    <w:p>
      <w:pPr>
        <w:spacing w:line="300" w:lineRule="exact"/>
        <w:jc w:val="center"/>
        <w:rPr>
          <w:rFonts w:eastAsia="方正小标宋_GBK"/>
          <w:sz w:val="44"/>
        </w:rPr>
      </w:pPr>
    </w:p>
    <w:tbl>
      <w:tblPr>
        <w:tblStyle w:val="7"/>
        <w:tblW w:w="10415" w:type="dxa"/>
        <w:jc w:val="center"/>
        <w:tblLayout w:type="fixed"/>
        <w:tblCellMar>
          <w:top w:w="0" w:type="dxa"/>
          <w:left w:w="108" w:type="dxa"/>
          <w:bottom w:w="0" w:type="dxa"/>
          <w:right w:w="108" w:type="dxa"/>
        </w:tblCellMar>
      </w:tblPr>
      <w:tblGrid>
        <w:gridCol w:w="716"/>
        <w:gridCol w:w="851"/>
        <w:gridCol w:w="770"/>
        <w:gridCol w:w="1350"/>
        <w:gridCol w:w="253"/>
        <w:gridCol w:w="1487"/>
        <w:gridCol w:w="1635"/>
        <w:gridCol w:w="825"/>
        <w:gridCol w:w="1455"/>
        <w:gridCol w:w="1073"/>
      </w:tblGrid>
      <w:tr>
        <w:tblPrEx>
          <w:tblCellMar>
            <w:top w:w="0" w:type="dxa"/>
            <w:left w:w="108" w:type="dxa"/>
            <w:bottom w:w="0" w:type="dxa"/>
            <w:right w:w="108" w:type="dxa"/>
          </w:tblCellMar>
        </w:tblPrEx>
        <w:trPr>
          <w:trHeight w:val="447"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r>
              <w:rPr>
                <w:rFonts w:hint="eastAsia" w:ascii="仿宋" w:hAnsi="仿宋" w:eastAsia="仿宋" w:cs="仿宋"/>
                <w:b/>
                <w:bCs/>
                <w:color w:val="000000"/>
                <w:kern w:val="0"/>
                <w:szCs w:val="21"/>
              </w:rPr>
              <w:t>单位名称</w:t>
            </w:r>
          </w:p>
        </w:tc>
        <w:tc>
          <w:tcPr>
            <w:tcW w:w="9699" w:type="dxa"/>
            <w:gridSpan w:val="9"/>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lang w:eastAsia="zh-CN"/>
              </w:rPr>
              <w:t>绥宁县发展和改革局</w:t>
            </w:r>
            <w:r>
              <w:rPr>
                <w:rFonts w:hint="eastAsia" w:ascii="仿宋" w:hAnsi="仿宋" w:eastAsia="仿宋" w:cs="仿宋"/>
                <w:color w:val="000000"/>
                <w:kern w:val="0"/>
                <w:szCs w:val="21"/>
              </w:rPr>
              <w:t>　</w:t>
            </w:r>
          </w:p>
        </w:tc>
      </w:tr>
      <w:tr>
        <w:tblPrEx>
          <w:tblCellMar>
            <w:top w:w="0" w:type="dxa"/>
            <w:left w:w="108" w:type="dxa"/>
            <w:bottom w:w="0" w:type="dxa"/>
            <w:right w:w="108" w:type="dxa"/>
          </w:tblCellMar>
        </w:tblPrEx>
        <w:trPr>
          <w:trHeight w:val="460" w:hRule="atLeast"/>
          <w:jc w:val="center"/>
        </w:trPr>
        <w:tc>
          <w:tcPr>
            <w:tcW w:w="716"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r>
              <w:rPr>
                <w:rFonts w:hint="eastAsia" w:ascii="仿宋" w:hAnsi="仿宋" w:eastAsia="仿宋" w:cs="仿宋"/>
                <w:b/>
                <w:bCs/>
                <w:color w:val="000000"/>
                <w:kern w:val="0"/>
                <w:szCs w:val="21"/>
              </w:rPr>
              <w:t>年度预算申请（万元）</w:t>
            </w:r>
          </w:p>
        </w:tc>
        <w:tc>
          <w:tcPr>
            <w:tcW w:w="1621" w:type="dxa"/>
            <w:gridSpan w:val="2"/>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35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年初预算数</w:t>
            </w:r>
          </w:p>
        </w:tc>
        <w:tc>
          <w:tcPr>
            <w:tcW w:w="1740" w:type="dxa"/>
            <w:gridSpan w:val="2"/>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全年预算数(A)</w:t>
            </w:r>
          </w:p>
        </w:tc>
        <w:tc>
          <w:tcPr>
            <w:tcW w:w="1635"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20" w:lineRule="exact"/>
              <w:ind w:left="0" w:right="0"/>
              <w:rPr>
                <w:rFonts w:ascii="仿宋" w:hAnsi="仿宋" w:eastAsia="仿宋" w:cs="仿宋"/>
                <w:color w:val="000000"/>
                <w:kern w:val="0"/>
                <w:szCs w:val="21"/>
              </w:rPr>
            </w:pPr>
            <w:r>
              <w:rPr>
                <w:rFonts w:hint="eastAsia" w:ascii="仿宋" w:hAnsi="仿宋" w:eastAsia="仿宋" w:cs="仿宋"/>
                <w:color w:val="000000"/>
                <w:kern w:val="0"/>
                <w:szCs w:val="21"/>
              </w:rPr>
              <w:t>全年执行数(B)</w:t>
            </w:r>
          </w:p>
        </w:tc>
        <w:tc>
          <w:tcPr>
            <w:tcW w:w="825"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分值</w:t>
            </w:r>
          </w:p>
        </w:tc>
        <w:tc>
          <w:tcPr>
            <w:tcW w:w="1455"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执行率(B/A)</w:t>
            </w:r>
          </w:p>
        </w:tc>
        <w:tc>
          <w:tcPr>
            <w:tcW w:w="1073"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得分</w:t>
            </w:r>
          </w:p>
        </w:tc>
      </w:tr>
      <w:tr>
        <w:tblPrEx>
          <w:tblCellMar>
            <w:top w:w="0" w:type="dxa"/>
            <w:left w:w="108" w:type="dxa"/>
            <w:bottom w:w="0" w:type="dxa"/>
            <w:right w:w="108" w:type="dxa"/>
          </w:tblCellMar>
        </w:tblPrEx>
        <w:trPr>
          <w:trHeight w:val="465" w:hRule="atLeast"/>
          <w:jc w:val="center"/>
        </w:trPr>
        <w:tc>
          <w:tcPr>
            <w:tcW w:w="716" w:type="dxa"/>
            <w:vMerge w:val="continue"/>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1621" w:type="dxa"/>
            <w:gridSpan w:val="2"/>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20" w:lineRule="exact"/>
              <w:ind w:left="0" w:right="0"/>
              <w:jc w:val="left"/>
              <w:rPr>
                <w:rFonts w:ascii="仿宋" w:hAnsi="仿宋" w:eastAsia="仿宋" w:cs="仿宋"/>
                <w:color w:val="000000"/>
                <w:kern w:val="0"/>
                <w:szCs w:val="21"/>
              </w:rPr>
            </w:pPr>
            <w:r>
              <w:rPr>
                <w:rFonts w:hint="eastAsia" w:ascii="仿宋" w:hAnsi="仿宋" w:eastAsia="仿宋" w:cs="仿宋"/>
                <w:color w:val="000000"/>
                <w:kern w:val="0"/>
                <w:szCs w:val="21"/>
              </w:rPr>
              <w:t>年度资金总额</w:t>
            </w:r>
          </w:p>
        </w:tc>
        <w:tc>
          <w:tcPr>
            <w:tcW w:w="135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20" w:lineRule="exact"/>
              <w:ind w:left="0" w:right="0"/>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1186.69</w:t>
            </w:r>
          </w:p>
        </w:tc>
        <w:tc>
          <w:tcPr>
            <w:tcW w:w="1740" w:type="dxa"/>
            <w:gridSpan w:val="2"/>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20" w:lineRule="exact"/>
              <w:ind w:left="0" w:right="0"/>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3683.65</w:t>
            </w:r>
          </w:p>
        </w:tc>
        <w:tc>
          <w:tcPr>
            <w:tcW w:w="1635"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20" w:lineRule="exact"/>
              <w:ind w:left="0" w:right="0"/>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3658.73</w:t>
            </w:r>
          </w:p>
        </w:tc>
        <w:tc>
          <w:tcPr>
            <w:tcW w:w="825"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455"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20" w:lineRule="exact"/>
              <w:ind w:left="0" w:right="0"/>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99.3%</w:t>
            </w:r>
          </w:p>
        </w:tc>
        <w:tc>
          <w:tcPr>
            <w:tcW w:w="1073"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9</w:t>
            </w:r>
          </w:p>
        </w:tc>
      </w:tr>
      <w:tr>
        <w:tblPrEx>
          <w:tblCellMar>
            <w:top w:w="0" w:type="dxa"/>
            <w:left w:w="108" w:type="dxa"/>
            <w:bottom w:w="0" w:type="dxa"/>
            <w:right w:w="108" w:type="dxa"/>
          </w:tblCellMar>
        </w:tblPrEx>
        <w:trPr>
          <w:trHeight w:val="435" w:hRule="atLeast"/>
          <w:jc w:val="center"/>
        </w:trPr>
        <w:tc>
          <w:tcPr>
            <w:tcW w:w="716"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按收入性质分：</w:t>
            </w:r>
            <w:r>
              <w:rPr>
                <w:rFonts w:hint="eastAsia" w:ascii="仿宋" w:hAnsi="仿宋" w:eastAsia="仿宋" w:cs="仿宋"/>
                <w:color w:val="000000"/>
                <w:kern w:val="0"/>
                <w:szCs w:val="21"/>
                <w:lang w:val="en-US" w:eastAsia="zh-CN"/>
              </w:rPr>
              <w:t>3683.65</w:t>
            </w:r>
          </w:p>
        </w:tc>
        <w:tc>
          <w:tcPr>
            <w:tcW w:w="4988" w:type="dxa"/>
            <w:gridSpan w:val="4"/>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按支出性质分：</w:t>
            </w:r>
            <w:r>
              <w:rPr>
                <w:rFonts w:hint="eastAsia" w:ascii="仿宋" w:hAnsi="仿宋" w:eastAsia="仿宋" w:cs="仿宋"/>
                <w:color w:val="000000"/>
                <w:kern w:val="0"/>
                <w:szCs w:val="21"/>
                <w:lang w:val="en-US" w:eastAsia="zh-CN"/>
              </w:rPr>
              <w:t>3658.73</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firstLine="210" w:firstLineChars="1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其中：一般公共预算：</w:t>
            </w:r>
            <w:r>
              <w:rPr>
                <w:rFonts w:hint="eastAsia" w:ascii="仿宋" w:hAnsi="仿宋" w:eastAsia="仿宋" w:cs="仿宋"/>
                <w:color w:val="000000"/>
                <w:kern w:val="0"/>
                <w:szCs w:val="21"/>
                <w:lang w:val="en-US" w:eastAsia="zh-CN"/>
              </w:rPr>
              <w:t>3400.97</w:t>
            </w:r>
          </w:p>
        </w:tc>
        <w:tc>
          <w:tcPr>
            <w:tcW w:w="4988" w:type="dxa"/>
            <w:gridSpan w:val="4"/>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firstLine="210" w:firstLineChars="1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其中：基本支出：</w:t>
            </w:r>
            <w:r>
              <w:rPr>
                <w:rFonts w:hint="eastAsia" w:ascii="仿宋" w:hAnsi="仿宋" w:eastAsia="仿宋" w:cs="仿宋"/>
                <w:color w:val="000000"/>
                <w:kern w:val="0"/>
                <w:szCs w:val="21"/>
                <w:lang w:val="en-US" w:eastAsia="zh-CN"/>
              </w:rPr>
              <w:t>1975.3</w:t>
            </w:r>
          </w:p>
        </w:tc>
      </w:tr>
      <w:tr>
        <w:tblPrEx>
          <w:tblCellMar>
            <w:top w:w="0" w:type="dxa"/>
            <w:left w:w="108" w:type="dxa"/>
            <w:bottom w:w="0" w:type="dxa"/>
            <w:right w:w="108" w:type="dxa"/>
          </w:tblCellMar>
        </w:tblPrEx>
        <w:trPr>
          <w:trHeight w:val="450" w:hRule="atLeast"/>
          <w:jc w:val="center"/>
        </w:trPr>
        <w:tc>
          <w:tcPr>
            <w:tcW w:w="716"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firstLine="840" w:firstLineChars="4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政府性基金拨款：</w:t>
            </w:r>
            <w:r>
              <w:rPr>
                <w:rFonts w:hint="eastAsia" w:ascii="仿宋" w:hAnsi="仿宋" w:eastAsia="仿宋" w:cs="仿宋"/>
                <w:color w:val="000000"/>
                <w:kern w:val="0"/>
                <w:szCs w:val="21"/>
                <w:lang w:val="en-US" w:eastAsia="zh-CN"/>
              </w:rPr>
              <w:t>82.92</w:t>
            </w:r>
          </w:p>
        </w:tc>
        <w:tc>
          <w:tcPr>
            <w:tcW w:w="4988" w:type="dxa"/>
            <w:gridSpan w:val="4"/>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firstLine="840" w:firstLineChars="4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项目支出：</w:t>
            </w:r>
            <w:r>
              <w:rPr>
                <w:rFonts w:hint="eastAsia" w:ascii="仿宋" w:hAnsi="仿宋" w:eastAsia="仿宋" w:cs="仿宋"/>
                <w:color w:val="000000"/>
                <w:kern w:val="0"/>
                <w:szCs w:val="21"/>
                <w:lang w:val="en-US" w:eastAsia="zh-CN"/>
              </w:rPr>
              <w:t>1683.44</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firstLine="840" w:firstLineChars="400"/>
              <w:jc w:val="left"/>
              <w:rPr>
                <w:rFonts w:ascii="仿宋" w:hAnsi="仿宋" w:eastAsia="仿宋" w:cs="仿宋"/>
                <w:color w:val="000000"/>
                <w:kern w:val="0"/>
                <w:szCs w:val="21"/>
              </w:rPr>
            </w:pPr>
            <w:r>
              <w:rPr>
                <w:rFonts w:hint="eastAsia" w:ascii="仿宋" w:hAnsi="仿宋" w:eastAsia="仿宋" w:cs="仿宋"/>
                <w:color w:val="000000"/>
                <w:kern w:val="0"/>
                <w:szCs w:val="21"/>
              </w:rPr>
              <w:t>纳入专户管理的非税收入拨款：</w:t>
            </w:r>
          </w:p>
        </w:tc>
        <w:tc>
          <w:tcPr>
            <w:tcW w:w="4988" w:type="dxa"/>
            <w:gridSpan w:val="4"/>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r>
      <w:tr>
        <w:tblPrEx>
          <w:tblCellMar>
            <w:top w:w="0" w:type="dxa"/>
            <w:left w:w="108" w:type="dxa"/>
            <w:bottom w:w="0" w:type="dxa"/>
            <w:right w:w="108" w:type="dxa"/>
          </w:tblCellMar>
        </w:tblPrEx>
        <w:trPr>
          <w:trHeight w:val="430" w:hRule="atLeast"/>
          <w:jc w:val="center"/>
        </w:trPr>
        <w:tc>
          <w:tcPr>
            <w:tcW w:w="716" w:type="dxa"/>
            <w:vMerge w:val="continue"/>
            <w:tcBorders>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firstLine="840" w:firstLineChars="4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其他资金：</w:t>
            </w:r>
            <w:r>
              <w:rPr>
                <w:rFonts w:hint="eastAsia" w:ascii="仿宋" w:hAnsi="仿宋" w:eastAsia="仿宋" w:cs="仿宋"/>
                <w:color w:val="000000"/>
                <w:kern w:val="0"/>
                <w:szCs w:val="21"/>
                <w:lang w:val="en-US" w:eastAsia="zh-CN"/>
              </w:rPr>
              <w:t>174.84</w:t>
            </w:r>
          </w:p>
        </w:tc>
        <w:tc>
          <w:tcPr>
            <w:tcW w:w="4988" w:type="dxa"/>
            <w:gridSpan w:val="4"/>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r>
      <w:tr>
        <w:tblPrEx>
          <w:tblCellMar>
            <w:top w:w="0" w:type="dxa"/>
            <w:left w:w="108" w:type="dxa"/>
            <w:bottom w:w="0" w:type="dxa"/>
            <w:right w:w="108" w:type="dxa"/>
          </w:tblCellMar>
        </w:tblPrEx>
        <w:trPr>
          <w:trHeight w:val="445" w:hRule="atLeast"/>
          <w:jc w:val="center"/>
        </w:trPr>
        <w:tc>
          <w:tcPr>
            <w:tcW w:w="716"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r>
              <w:rPr>
                <w:rFonts w:hint="eastAsia" w:ascii="仿宋" w:hAnsi="仿宋" w:eastAsia="仿宋" w:cs="仿宋"/>
                <w:b/>
                <w:bCs/>
                <w:color w:val="000000"/>
                <w:kern w:val="0"/>
                <w:szCs w:val="21"/>
              </w:rPr>
              <w:t>年度总体目标</w:t>
            </w:r>
          </w:p>
        </w:tc>
        <w:tc>
          <w:tcPr>
            <w:tcW w:w="4711"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年初目标设定</w:t>
            </w:r>
          </w:p>
        </w:tc>
        <w:tc>
          <w:tcPr>
            <w:tcW w:w="4988"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全年实际完成情况</w:t>
            </w:r>
          </w:p>
        </w:tc>
      </w:tr>
      <w:tr>
        <w:tblPrEx>
          <w:tblCellMar>
            <w:top w:w="0" w:type="dxa"/>
            <w:left w:w="108" w:type="dxa"/>
            <w:bottom w:w="0" w:type="dxa"/>
            <w:right w:w="108" w:type="dxa"/>
          </w:tblCellMar>
        </w:tblPrEx>
        <w:trPr>
          <w:trHeight w:val="1470" w:hRule="atLeast"/>
          <w:jc w:val="center"/>
        </w:trPr>
        <w:tc>
          <w:tcPr>
            <w:tcW w:w="71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4711"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220" w:lineRule="exact"/>
              <w:ind w:left="0" w:right="0" w:firstLine="420" w:firstLineChars="200"/>
              <w:jc w:val="left"/>
              <w:rPr>
                <w:rFonts w:hint="eastAsia" w:ascii="仿宋" w:hAnsi="仿宋" w:eastAsia="仿宋" w:cs="仿宋"/>
                <w:color w:val="000000"/>
                <w:kern w:val="0"/>
                <w:szCs w:val="21"/>
                <w:lang w:val="en-US" w:eastAsia="zh-CN"/>
              </w:rPr>
            </w:pPr>
            <w:r>
              <w:rPr>
                <w:rFonts w:hint="eastAsia" w:ascii="仿宋" w:hAnsi="仿宋" w:eastAsia="仿宋" w:cs="仿宋"/>
                <w:b w:val="0"/>
                <w:bCs w:val="0"/>
                <w:color w:val="auto"/>
                <w:sz w:val="21"/>
                <w:szCs w:val="21"/>
              </w:rPr>
              <w:t>发展质量不断提高</w:t>
            </w: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color w:val="auto"/>
                <w:sz w:val="21"/>
                <w:szCs w:val="21"/>
              </w:rPr>
              <w:t>乡村振兴步伐加快</w:t>
            </w: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color w:val="auto"/>
                <w:sz w:val="21"/>
                <w:szCs w:val="21"/>
              </w:rPr>
              <w:t>发展后劲稳步增强</w:t>
            </w: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color w:val="auto"/>
                <w:sz w:val="21"/>
                <w:szCs w:val="21"/>
              </w:rPr>
              <w:t>城乡面貌更加靓丽</w:t>
            </w: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color w:val="auto"/>
                <w:sz w:val="21"/>
                <w:szCs w:val="21"/>
              </w:rPr>
              <w:t>发展活力越发强劲</w:t>
            </w: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color w:val="auto"/>
                <w:sz w:val="21"/>
                <w:szCs w:val="21"/>
              </w:rPr>
              <w:t>社会福祉全面增进</w:t>
            </w:r>
            <w:r>
              <w:rPr>
                <w:rFonts w:hint="eastAsia" w:ascii="仿宋" w:hAnsi="仿宋" w:eastAsia="仿宋" w:cs="仿宋"/>
                <w:b w:val="0"/>
                <w:bCs w:val="0"/>
                <w:color w:val="auto"/>
                <w:sz w:val="21"/>
                <w:szCs w:val="21"/>
                <w:lang w:val="en-US" w:eastAsia="zh-CN"/>
              </w:rPr>
              <w:t>.</w:t>
            </w:r>
          </w:p>
        </w:tc>
        <w:tc>
          <w:tcPr>
            <w:tcW w:w="4988"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420" w:firstLineChars="200"/>
              <w:jc w:val="both"/>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我局坚持以高质量发展统领经济社会发展全局，立足项目工作载体，加大争资争项力度，组织推进重大项目建设，努力扩大投资总量，稳住经济发展大盘，有力保持了县域经济平稳较快发展，</w:t>
            </w:r>
            <w:r>
              <w:rPr>
                <w:rFonts w:hint="eastAsia" w:ascii="仿宋" w:hAnsi="仿宋" w:eastAsia="仿宋" w:cs="仿宋"/>
                <w:b w:val="0"/>
                <w:bCs w:val="0"/>
                <w:sz w:val="21"/>
                <w:szCs w:val="21"/>
                <w:lang w:val="en-US" w:eastAsia="zh-CN"/>
              </w:rPr>
              <w:t>预计至12月底，</w:t>
            </w:r>
            <w:r>
              <w:rPr>
                <w:rFonts w:hint="eastAsia" w:ascii="仿宋" w:hAnsi="仿宋" w:eastAsia="仿宋" w:cs="仿宋"/>
                <w:sz w:val="21"/>
                <w:szCs w:val="21"/>
                <w:lang w:val="en-US" w:eastAsia="zh-CN"/>
              </w:rPr>
              <w:t>GDP增长6.2%，规模工业增加值同比增长3.5%，工业投资同比增长231.8%，固定资产投资增长11%，新增规模以上工业企业9家以上，新增规模以上服务业企业14家以上。</w:t>
            </w:r>
          </w:p>
          <w:p>
            <w:pPr>
              <w:keepNext w:val="0"/>
              <w:keepLines w:val="0"/>
              <w:suppressLineNumbers w:val="0"/>
              <w:spacing w:before="0" w:beforeAutospacing="0" w:after="0" w:afterAutospacing="0" w:line="240" w:lineRule="exact"/>
              <w:ind w:left="0" w:right="0" w:firstLine="420" w:firstLineChars="200"/>
              <w:rPr>
                <w:rFonts w:ascii="仿宋" w:hAnsi="仿宋" w:eastAsia="仿宋" w:cs="仿宋"/>
                <w:color w:val="000000"/>
                <w:kern w:val="0"/>
                <w:szCs w:val="21"/>
              </w:rPr>
            </w:pPr>
          </w:p>
        </w:tc>
      </w:tr>
      <w:tr>
        <w:tblPrEx>
          <w:tblCellMar>
            <w:top w:w="0" w:type="dxa"/>
            <w:left w:w="108" w:type="dxa"/>
            <w:bottom w:w="0" w:type="dxa"/>
            <w:right w:w="108" w:type="dxa"/>
          </w:tblCellMar>
        </w:tblPrEx>
        <w:trPr>
          <w:trHeight w:val="850" w:hRule="atLeast"/>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rPr>
                <w:rFonts w:ascii="仿宋" w:hAnsi="仿宋" w:eastAsia="仿宋" w:cs="仿宋"/>
                <w:b/>
                <w:bCs/>
                <w:color w:val="000000"/>
                <w:kern w:val="0"/>
                <w:szCs w:val="21"/>
              </w:rPr>
            </w:pPr>
            <w:r>
              <w:rPr>
                <w:rFonts w:hint="eastAsia" w:ascii="仿宋" w:hAnsi="仿宋" w:eastAsia="仿宋" w:cs="仿宋"/>
                <w:b/>
                <w:bCs/>
                <w:color w:val="000000"/>
                <w:kern w:val="0"/>
                <w:szCs w:val="21"/>
              </w:rPr>
              <w:t>绩效</w:t>
            </w:r>
          </w:p>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r>
              <w:rPr>
                <w:rFonts w:hint="eastAsia" w:ascii="仿宋" w:hAnsi="仿宋" w:eastAsia="仿宋" w:cs="仿宋"/>
                <w:b/>
                <w:bCs/>
                <w:color w:val="000000"/>
                <w:kern w:val="0"/>
                <w:szCs w:val="21"/>
              </w:rPr>
              <w:t>指标（90分）</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7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60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148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年度</w:t>
            </w:r>
          </w:p>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6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实际完成值</w:t>
            </w:r>
          </w:p>
        </w:tc>
        <w:tc>
          <w:tcPr>
            <w:tcW w:w="8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分值</w:t>
            </w:r>
          </w:p>
        </w:tc>
        <w:tc>
          <w:tcPr>
            <w:tcW w:w="14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得分</w:t>
            </w:r>
          </w:p>
        </w:tc>
        <w:tc>
          <w:tcPr>
            <w:tcW w:w="10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偏差原因</w:t>
            </w:r>
          </w:p>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分析及</w:t>
            </w:r>
          </w:p>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改进措施</w:t>
            </w:r>
          </w:p>
        </w:tc>
      </w:tr>
      <w:tr>
        <w:tblPrEx>
          <w:tblCellMar>
            <w:top w:w="0" w:type="dxa"/>
            <w:left w:w="108" w:type="dxa"/>
            <w:bottom w:w="0" w:type="dxa"/>
            <w:right w:w="108" w:type="dxa"/>
          </w:tblCellMar>
        </w:tblPrEx>
        <w:trPr>
          <w:trHeight w:val="486"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restar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产出指标（50分）</w:t>
            </w:r>
          </w:p>
        </w:tc>
        <w:tc>
          <w:tcPr>
            <w:tcW w:w="770" w:type="dxa"/>
            <w:vMerge w:val="restar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数量   指标</w:t>
            </w:r>
          </w:p>
          <w:p>
            <w:pPr>
              <w:keepNext w:val="0"/>
              <w:keepLines w:val="0"/>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争取中央预算内项目</w:t>
            </w:r>
          </w:p>
        </w:tc>
        <w:tc>
          <w:tcPr>
            <w:tcW w:w="148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eastAsia" w:ascii="仿宋" w:hAnsi="仿宋" w:eastAsia="仿宋" w:cs="仿宋"/>
                <w:sz w:val="20"/>
                <w:szCs w:val="20"/>
                <w:lang w:val="en-US" w:eastAsia="zh-CN"/>
              </w:rPr>
            </w:pPr>
            <w:r>
              <w:rPr>
                <w:rFonts w:hint="default" w:ascii="Arial" w:hAnsi="Arial" w:eastAsia="仿宋" w:cs="Arial"/>
                <w:sz w:val="20"/>
                <w:szCs w:val="20"/>
              </w:rPr>
              <w:t>≥</w:t>
            </w:r>
            <w:r>
              <w:rPr>
                <w:rFonts w:hint="eastAsia" w:ascii="仿宋" w:hAnsi="仿宋" w:eastAsia="仿宋" w:cs="仿宋"/>
                <w:sz w:val="20"/>
                <w:szCs w:val="20"/>
                <w:lang w:val="en-US" w:eastAsia="zh-CN"/>
              </w:rPr>
              <w:t>6项</w:t>
            </w:r>
          </w:p>
        </w:tc>
        <w:tc>
          <w:tcPr>
            <w:tcW w:w="16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5项</w:t>
            </w:r>
          </w:p>
        </w:tc>
        <w:tc>
          <w:tcPr>
            <w:tcW w:w="8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4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w:t>
            </w:r>
          </w:p>
        </w:tc>
        <w:tc>
          <w:tcPr>
            <w:tcW w:w="10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770"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争取专项债券</w:t>
            </w:r>
          </w:p>
        </w:tc>
        <w:tc>
          <w:tcPr>
            <w:tcW w:w="148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leftChars="0" w:right="0" w:rightChars="0"/>
              <w:rPr>
                <w:rFonts w:hint="default" w:ascii="仿宋" w:hAnsi="仿宋" w:eastAsia="仿宋" w:cs="仿宋"/>
                <w:kern w:val="2"/>
                <w:sz w:val="20"/>
                <w:szCs w:val="20"/>
                <w:lang w:val="en-US" w:eastAsia="zh-CN" w:bidi="ar-SA"/>
              </w:rPr>
            </w:pPr>
            <w:r>
              <w:rPr>
                <w:rFonts w:hint="default" w:ascii="Arial" w:hAnsi="Arial" w:eastAsia="仿宋" w:cs="Arial"/>
                <w:sz w:val="20"/>
                <w:szCs w:val="20"/>
              </w:rPr>
              <w:t>≥</w:t>
            </w:r>
            <w:r>
              <w:rPr>
                <w:rFonts w:hint="eastAsia" w:ascii="Arial" w:hAnsi="Arial" w:eastAsia="仿宋" w:cs="Arial"/>
                <w:sz w:val="20"/>
                <w:szCs w:val="20"/>
                <w:lang w:val="en-US" w:eastAsia="zh-CN"/>
              </w:rPr>
              <w:t>7项</w:t>
            </w:r>
          </w:p>
        </w:tc>
        <w:tc>
          <w:tcPr>
            <w:tcW w:w="16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leftChars="0" w:right="0" w:rightChars="0"/>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val="en-US" w:eastAsia="zh-CN"/>
              </w:rPr>
              <w:t>7项</w:t>
            </w:r>
          </w:p>
        </w:tc>
        <w:tc>
          <w:tcPr>
            <w:tcW w:w="8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4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0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770"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重大项目建设</w:t>
            </w:r>
          </w:p>
        </w:tc>
        <w:tc>
          <w:tcPr>
            <w:tcW w:w="148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Arial" w:hAnsi="Arial" w:eastAsia="仿宋" w:cs="Arial"/>
                <w:sz w:val="20"/>
                <w:szCs w:val="20"/>
                <w:lang w:val="en-US" w:eastAsia="zh-CN"/>
              </w:rPr>
            </w:pPr>
            <w:r>
              <w:rPr>
                <w:rFonts w:hint="default" w:ascii="Arial" w:hAnsi="Arial" w:eastAsia="仿宋" w:cs="Arial"/>
                <w:sz w:val="20"/>
                <w:szCs w:val="20"/>
              </w:rPr>
              <w:t>≥</w:t>
            </w:r>
            <w:r>
              <w:rPr>
                <w:rFonts w:hint="eastAsia" w:ascii="Arial" w:hAnsi="Arial" w:eastAsia="仿宋" w:cs="Arial"/>
                <w:sz w:val="20"/>
                <w:szCs w:val="20"/>
                <w:lang w:val="en-US" w:eastAsia="zh-CN"/>
              </w:rPr>
              <w:t>52项</w:t>
            </w:r>
          </w:p>
        </w:tc>
        <w:tc>
          <w:tcPr>
            <w:tcW w:w="16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48项</w:t>
            </w:r>
          </w:p>
        </w:tc>
        <w:tc>
          <w:tcPr>
            <w:tcW w:w="8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4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w:t>
            </w:r>
          </w:p>
        </w:tc>
        <w:tc>
          <w:tcPr>
            <w:tcW w:w="10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770"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申报高新技术企业</w:t>
            </w:r>
          </w:p>
        </w:tc>
        <w:tc>
          <w:tcPr>
            <w:tcW w:w="148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仿宋" w:hAnsi="仿宋" w:eastAsia="仿宋" w:cs="仿宋"/>
                <w:sz w:val="20"/>
                <w:szCs w:val="20"/>
                <w:lang w:val="en-US" w:eastAsia="zh-CN"/>
              </w:rPr>
            </w:pPr>
            <w:r>
              <w:rPr>
                <w:rFonts w:hint="default" w:ascii="Arial" w:hAnsi="Arial" w:eastAsia="仿宋" w:cs="Arial"/>
                <w:sz w:val="20"/>
                <w:szCs w:val="20"/>
              </w:rPr>
              <w:t>≥</w:t>
            </w:r>
            <w:r>
              <w:rPr>
                <w:rFonts w:hint="eastAsia" w:ascii="Arial" w:hAnsi="Arial" w:eastAsia="仿宋" w:cs="Arial"/>
                <w:sz w:val="20"/>
                <w:szCs w:val="20"/>
                <w:lang w:val="en-US" w:eastAsia="zh-CN"/>
              </w:rPr>
              <w:t>10家</w:t>
            </w:r>
          </w:p>
        </w:tc>
        <w:tc>
          <w:tcPr>
            <w:tcW w:w="16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9家</w:t>
            </w:r>
          </w:p>
        </w:tc>
        <w:tc>
          <w:tcPr>
            <w:tcW w:w="8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4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w:t>
            </w:r>
          </w:p>
        </w:tc>
        <w:tc>
          <w:tcPr>
            <w:tcW w:w="10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770"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易地扶贫搬迁产业扶持</w:t>
            </w:r>
          </w:p>
        </w:tc>
        <w:tc>
          <w:tcPr>
            <w:tcW w:w="148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Arial" w:hAnsi="Arial" w:eastAsia="仿宋" w:cs="Arial"/>
                <w:sz w:val="20"/>
                <w:szCs w:val="20"/>
                <w:lang w:val="en-US" w:eastAsia="zh-CN"/>
              </w:rPr>
            </w:pPr>
            <w:r>
              <w:rPr>
                <w:rFonts w:hint="default" w:ascii="Arial" w:hAnsi="Arial" w:eastAsia="仿宋" w:cs="Arial"/>
                <w:sz w:val="20"/>
                <w:szCs w:val="20"/>
              </w:rPr>
              <w:t>≥</w:t>
            </w:r>
            <w:r>
              <w:rPr>
                <w:rFonts w:hint="eastAsia" w:ascii="Arial" w:hAnsi="Arial" w:eastAsia="仿宋" w:cs="Arial"/>
                <w:sz w:val="20"/>
                <w:szCs w:val="20"/>
                <w:lang w:val="en-US" w:eastAsia="zh-CN"/>
              </w:rPr>
              <w:t>30项</w:t>
            </w:r>
          </w:p>
        </w:tc>
        <w:tc>
          <w:tcPr>
            <w:tcW w:w="16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30项</w:t>
            </w:r>
          </w:p>
        </w:tc>
        <w:tc>
          <w:tcPr>
            <w:tcW w:w="8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4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0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770"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粮食和物资储备</w:t>
            </w:r>
          </w:p>
        </w:tc>
        <w:tc>
          <w:tcPr>
            <w:tcW w:w="148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仿宋" w:hAnsi="仿宋" w:eastAsia="仿宋" w:cs="仿宋"/>
                <w:sz w:val="20"/>
                <w:szCs w:val="20"/>
                <w:lang w:val="en-US" w:eastAsia="zh-CN"/>
              </w:rPr>
            </w:pPr>
            <w:r>
              <w:rPr>
                <w:rFonts w:hint="default" w:ascii="Arial" w:hAnsi="Arial" w:eastAsia="仿宋" w:cs="Arial"/>
                <w:sz w:val="20"/>
                <w:szCs w:val="20"/>
              </w:rPr>
              <w:t>≥</w:t>
            </w:r>
            <w:r>
              <w:rPr>
                <w:rFonts w:hint="eastAsia" w:ascii="Arial" w:hAnsi="Arial" w:eastAsia="仿宋" w:cs="Arial"/>
                <w:sz w:val="20"/>
                <w:szCs w:val="20"/>
                <w:lang w:val="en-US" w:eastAsia="zh-CN"/>
              </w:rPr>
              <w:t>1000吨</w:t>
            </w:r>
          </w:p>
        </w:tc>
        <w:tc>
          <w:tcPr>
            <w:tcW w:w="16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1000吨</w:t>
            </w:r>
          </w:p>
        </w:tc>
        <w:tc>
          <w:tcPr>
            <w:tcW w:w="8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4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0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770" w:type="dxa"/>
            <w:vMerge w:val="restart"/>
            <w:tcBorders>
              <w:top w:val="single" w:color="auto"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质量   指标</w:t>
            </w:r>
          </w:p>
        </w:tc>
        <w:tc>
          <w:tcPr>
            <w:tcW w:w="1603"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中央预算内项目资金到位率</w:t>
            </w:r>
          </w:p>
        </w:tc>
        <w:tc>
          <w:tcPr>
            <w:tcW w:w="148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仿宋" w:hAnsi="仿宋" w:eastAsia="仿宋" w:cs="仿宋"/>
                <w:color w:val="000000"/>
                <w:kern w:val="0"/>
                <w:szCs w:val="21"/>
                <w:lang w:val="en-US" w:eastAsia="zh-CN"/>
              </w:rPr>
            </w:pPr>
            <w:r>
              <w:rPr>
                <w:rFonts w:hint="default" w:ascii="Arial" w:hAnsi="Arial" w:eastAsia="仿宋" w:cs="Arial"/>
                <w:sz w:val="20"/>
                <w:szCs w:val="20"/>
              </w:rPr>
              <w:t>≥</w:t>
            </w:r>
            <w:r>
              <w:rPr>
                <w:rFonts w:hint="eastAsia" w:ascii="Arial" w:hAnsi="Arial" w:eastAsia="仿宋" w:cs="Arial"/>
                <w:sz w:val="20"/>
                <w:szCs w:val="20"/>
                <w:lang w:val="en-US" w:eastAsia="zh-CN"/>
              </w:rPr>
              <w:t>95%</w:t>
            </w:r>
          </w:p>
        </w:tc>
        <w:tc>
          <w:tcPr>
            <w:tcW w:w="16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93%</w:t>
            </w:r>
          </w:p>
        </w:tc>
        <w:tc>
          <w:tcPr>
            <w:tcW w:w="8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w:t>
            </w:r>
          </w:p>
        </w:tc>
        <w:tc>
          <w:tcPr>
            <w:tcW w:w="14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2</w:t>
            </w:r>
          </w:p>
        </w:tc>
        <w:tc>
          <w:tcPr>
            <w:tcW w:w="10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770" w:type="dxa"/>
            <w:vMerge w:val="continue"/>
            <w:tcBorders>
              <w:top w:val="single" w:color="000000"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专项债资金到位率</w:t>
            </w:r>
          </w:p>
        </w:tc>
        <w:tc>
          <w:tcPr>
            <w:tcW w:w="148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仿宋" w:hAnsi="仿宋" w:eastAsia="仿宋" w:cs="仿宋"/>
                <w:color w:val="000000"/>
                <w:kern w:val="0"/>
                <w:szCs w:val="21"/>
                <w:lang w:val="en-US" w:eastAsia="zh-CN"/>
              </w:rPr>
            </w:pPr>
            <w:r>
              <w:rPr>
                <w:rFonts w:hint="default" w:ascii="Arial" w:hAnsi="Arial" w:eastAsia="仿宋" w:cs="Arial"/>
                <w:sz w:val="20"/>
                <w:szCs w:val="20"/>
              </w:rPr>
              <w:t>≥</w:t>
            </w:r>
            <w:r>
              <w:rPr>
                <w:rFonts w:hint="eastAsia" w:ascii="Arial" w:hAnsi="Arial" w:eastAsia="仿宋" w:cs="Arial"/>
                <w:sz w:val="20"/>
                <w:szCs w:val="20"/>
                <w:lang w:val="en-US" w:eastAsia="zh-CN"/>
              </w:rPr>
              <w:t>95%</w:t>
            </w:r>
          </w:p>
        </w:tc>
        <w:tc>
          <w:tcPr>
            <w:tcW w:w="16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93%</w:t>
            </w:r>
          </w:p>
        </w:tc>
        <w:tc>
          <w:tcPr>
            <w:tcW w:w="8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w:t>
            </w:r>
          </w:p>
        </w:tc>
        <w:tc>
          <w:tcPr>
            <w:tcW w:w="14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2</w:t>
            </w:r>
          </w:p>
        </w:tc>
        <w:tc>
          <w:tcPr>
            <w:tcW w:w="10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770" w:type="dxa"/>
            <w:vMerge w:val="continue"/>
            <w:tcBorders>
              <w:top w:val="single" w:color="000000"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重大项目建设完成率</w:t>
            </w:r>
          </w:p>
        </w:tc>
        <w:tc>
          <w:tcPr>
            <w:tcW w:w="148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仿宋" w:hAnsi="仿宋" w:eastAsia="仿宋" w:cs="仿宋"/>
                <w:color w:val="000000"/>
                <w:kern w:val="0"/>
                <w:szCs w:val="21"/>
                <w:lang w:val="en-US" w:eastAsia="zh-CN"/>
              </w:rPr>
            </w:pPr>
            <w:r>
              <w:rPr>
                <w:rFonts w:hint="default" w:ascii="Arial" w:hAnsi="Arial" w:eastAsia="仿宋" w:cs="Arial"/>
                <w:sz w:val="20"/>
                <w:szCs w:val="20"/>
              </w:rPr>
              <w:t>≥</w:t>
            </w:r>
            <w:r>
              <w:rPr>
                <w:rFonts w:hint="eastAsia" w:ascii="Arial" w:hAnsi="Arial" w:eastAsia="仿宋" w:cs="Arial"/>
                <w:sz w:val="20"/>
                <w:szCs w:val="20"/>
                <w:lang w:val="en-US" w:eastAsia="zh-CN"/>
              </w:rPr>
              <w:t>80%</w:t>
            </w:r>
          </w:p>
        </w:tc>
        <w:tc>
          <w:tcPr>
            <w:tcW w:w="16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70%</w:t>
            </w:r>
          </w:p>
        </w:tc>
        <w:tc>
          <w:tcPr>
            <w:tcW w:w="8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w:t>
            </w:r>
          </w:p>
        </w:tc>
        <w:tc>
          <w:tcPr>
            <w:tcW w:w="14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2</w:t>
            </w:r>
          </w:p>
        </w:tc>
        <w:tc>
          <w:tcPr>
            <w:tcW w:w="10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770" w:type="dxa"/>
            <w:vMerge w:val="continue"/>
            <w:tcBorders>
              <w:top w:val="single" w:color="000000"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高新技术企业申报成功率</w:t>
            </w:r>
          </w:p>
        </w:tc>
        <w:tc>
          <w:tcPr>
            <w:tcW w:w="148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仿宋" w:hAnsi="仿宋" w:eastAsia="仿宋" w:cs="仿宋"/>
                <w:color w:val="000000"/>
                <w:kern w:val="0"/>
                <w:szCs w:val="21"/>
                <w:lang w:val="en-US" w:eastAsia="zh-CN"/>
              </w:rPr>
            </w:pPr>
            <w:r>
              <w:rPr>
                <w:rFonts w:hint="default" w:ascii="Arial" w:hAnsi="Arial" w:eastAsia="仿宋" w:cs="Arial"/>
                <w:sz w:val="20"/>
                <w:szCs w:val="20"/>
              </w:rPr>
              <w:t>≥</w:t>
            </w:r>
            <w:r>
              <w:rPr>
                <w:rFonts w:hint="eastAsia" w:ascii="Arial" w:hAnsi="Arial" w:eastAsia="仿宋" w:cs="Arial"/>
                <w:sz w:val="20"/>
                <w:szCs w:val="20"/>
                <w:lang w:val="en-US" w:eastAsia="zh-CN"/>
              </w:rPr>
              <w:t>90%</w:t>
            </w:r>
          </w:p>
        </w:tc>
        <w:tc>
          <w:tcPr>
            <w:tcW w:w="16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80%</w:t>
            </w:r>
          </w:p>
        </w:tc>
        <w:tc>
          <w:tcPr>
            <w:tcW w:w="8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w:t>
            </w:r>
          </w:p>
        </w:tc>
        <w:tc>
          <w:tcPr>
            <w:tcW w:w="14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2</w:t>
            </w:r>
          </w:p>
        </w:tc>
        <w:tc>
          <w:tcPr>
            <w:tcW w:w="10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770" w:type="dxa"/>
            <w:vMerge w:val="continue"/>
            <w:tcBorders>
              <w:top w:val="single" w:color="000000"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易地扶贫搬迁产业扶持成功率</w:t>
            </w:r>
          </w:p>
        </w:tc>
        <w:tc>
          <w:tcPr>
            <w:tcW w:w="148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仿宋" w:hAnsi="仿宋" w:eastAsia="仿宋" w:cs="仿宋"/>
                <w:color w:val="000000"/>
                <w:kern w:val="0"/>
                <w:szCs w:val="21"/>
                <w:lang w:val="en-US" w:eastAsia="zh-CN"/>
              </w:rPr>
            </w:pPr>
            <w:r>
              <w:rPr>
                <w:rFonts w:hint="default" w:ascii="Arial" w:hAnsi="Arial" w:eastAsia="仿宋" w:cs="Arial"/>
                <w:sz w:val="20"/>
                <w:szCs w:val="20"/>
              </w:rPr>
              <w:t>≥</w:t>
            </w:r>
            <w:r>
              <w:rPr>
                <w:rFonts w:hint="eastAsia" w:ascii="Arial" w:hAnsi="Arial" w:eastAsia="仿宋" w:cs="Arial"/>
                <w:sz w:val="20"/>
                <w:szCs w:val="20"/>
                <w:lang w:val="en-US" w:eastAsia="zh-CN"/>
              </w:rPr>
              <w:t>80%</w:t>
            </w:r>
          </w:p>
        </w:tc>
        <w:tc>
          <w:tcPr>
            <w:tcW w:w="16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75%</w:t>
            </w:r>
          </w:p>
        </w:tc>
        <w:tc>
          <w:tcPr>
            <w:tcW w:w="8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w:t>
            </w:r>
          </w:p>
        </w:tc>
        <w:tc>
          <w:tcPr>
            <w:tcW w:w="14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2</w:t>
            </w:r>
          </w:p>
        </w:tc>
        <w:tc>
          <w:tcPr>
            <w:tcW w:w="10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770" w:type="dxa"/>
            <w:vMerge w:val="continue"/>
            <w:tcBorders>
              <w:top w:val="single" w:color="000000"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粮食和物资储备合格率</w:t>
            </w:r>
          </w:p>
        </w:tc>
        <w:tc>
          <w:tcPr>
            <w:tcW w:w="148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仿宋" w:hAnsi="仿宋" w:eastAsia="仿宋" w:cs="仿宋"/>
                <w:color w:val="000000"/>
                <w:kern w:val="0"/>
                <w:szCs w:val="21"/>
                <w:lang w:val="en-US" w:eastAsia="zh-CN"/>
              </w:rPr>
            </w:pPr>
            <w:r>
              <w:rPr>
                <w:rFonts w:hint="default" w:ascii="Arial" w:hAnsi="Arial" w:eastAsia="仿宋" w:cs="Arial"/>
                <w:sz w:val="20"/>
                <w:szCs w:val="20"/>
              </w:rPr>
              <w:t>≥</w:t>
            </w:r>
            <w:r>
              <w:rPr>
                <w:rFonts w:hint="eastAsia" w:ascii="Arial" w:hAnsi="Arial" w:eastAsia="仿宋" w:cs="Arial"/>
                <w:sz w:val="20"/>
                <w:szCs w:val="20"/>
                <w:lang w:val="en-US" w:eastAsia="zh-CN"/>
              </w:rPr>
              <w:t>98%</w:t>
            </w:r>
          </w:p>
        </w:tc>
        <w:tc>
          <w:tcPr>
            <w:tcW w:w="16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98%</w:t>
            </w:r>
          </w:p>
        </w:tc>
        <w:tc>
          <w:tcPr>
            <w:tcW w:w="8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w:t>
            </w:r>
          </w:p>
        </w:tc>
        <w:tc>
          <w:tcPr>
            <w:tcW w:w="14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w:t>
            </w:r>
          </w:p>
        </w:tc>
        <w:tc>
          <w:tcPr>
            <w:tcW w:w="10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770" w:type="dxa"/>
            <w:vMerge w:val="restart"/>
            <w:tcBorders>
              <w:top w:val="single" w:color="000000" w:sz="4" w:space="0"/>
              <w:left w:val="nil"/>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603" w:type="dxa"/>
            <w:gridSpan w:val="2"/>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完成及时率</w:t>
            </w:r>
          </w:p>
        </w:tc>
        <w:tc>
          <w:tcPr>
            <w:tcW w:w="1487"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仿宋" w:hAnsi="仿宋" w:eastAsia="仿宋" w:cs="仿宋"/>
                <w:color w:val="000000"/>
                <w:kern w:val="0"/>
                <w:szCs w:val="21"/>
                <w:lang w:val="en-US" w:eastAsia="zh-CN"/>
              </w:rPr>
            </w:pPr>
            <w:r>
              <w:rPr>
                <w:rFonts w:hint="default" w:ascii="Arial" w:hAnsi="Arial" w:eastAsia="仿宋" w:cs="Arial"/>
                <w:sz w:val="20"/>
                <w:szCs w:val="20"/>
              </w:rPr>
              <w:t>≥</w:t>
            </w:r>
            <w:r>
              <w:rPr>
                <w:rFonts w:hint="eastAsia" w:ascii="Arial" w:hAnsi="Arial" w:eastAsia="仿宋" w:cs="Arial"/>
                <w:sz w:val="20"/>
                <w:szCs w:val="20"/>
                <w:lang w:val="en-US" w:eastAsia="zh-CN"/>
              </w:rPr>
              <w:t>95%</w:t>
            </w:r>
          </w:p>
        </w:tc>
        <w:tc>
          <w:tcPr>
            <w:tcW w:w="16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96%</w:t>
            </w:r>
          </w:p>
        </w:tc>
        <w:tc>
          <w:tcPr>
            <w:tcW w:w="82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45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77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603" w:type="dxa"/>
            <w:gridSpan w:val="2"/>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完成工作时间</w:t>
            </w:r>
          </w:p>
        </w:tc>
        <w:tc>
          <w:tcPr>
            <w:tcW w:w="1487"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2022年12月底</w:t>
            </w:r>
          </w:p>
        </w:tc>
        <w:tc>
          <w:tcPr>
            <w:tcW w:w="16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2022年12月底</w:t>
            </w:r>
          </w:p>
        </w:tc>
        <w:tc>
          <w:tcPr>
            <w:tcW w:w="82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45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90" w:hRule="atLeast"/>
          <w:jc w:val="center"/>
        </w:trPr>
        <w:tc>
          <w:tcPr>
            <w:tcW w:w="716"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770" w:type="dxa"/>
            <w:vMerge w:val="restar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603" w:type="dxa"/>
            <w:gridSpan w:val="2"/>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所用费用使用额度</w:t>
            </w:r>
          </w:p>
        </w:tc>
        <w:tc>
          <w:tcPr>
            <w:tcW w:w="1487"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eastAsia" w:ascii="仿宋" w:hAnsi="仿宋" w:eastAsia="仿宋" w:cs="仿宋"/>
                <w:sz w:val="20"/>
                <w:szCs w:val="20"/>
                <w:lang w:eastAsia="zh-CN"/>
              </w:rPr>
            </w:pPr>
            <w:r>
              <w:rPr>
                <w:rFonts w:hint="eastAsia" w:ascii="仿宋" w:hAnsi="仿宋" w:eastAsia="仿宋" w:cs="仿宋"/>
                <w:sz w:val="20"/>
                <w:szCs w:val="20"/>
                <w:lang w:eastAsia="zh-CN"/>
              </w:rPr>
              <w:t>不超过预算数</w:t>
            </w:r>
          </w:p>
        </w:tc>
        <w:tc>
          <w:tcPr>
            <w:tcW w:w="16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不超过预算数</w:t>
            </w:r>
          </w:p>
        </w:tc>
        <w:tc>
          <w:tcPr>
            <w:tcW w:w="82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45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continue"/>
            <w:tcBorders>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770" w:type="dxa"/>
            <w:vMerge w:val="continue"/>
            <w:tcBorders>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1603" w:type="dxa"/>
            <w:gridSpan w:val="2"/>
            <w:tcBorders>
              <w:top w:val="nil"/>
              <w:left w:val="nil"/>
              <w:bottom w:val="single" w:color="000000"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ascii="仿宋" w:hAnsi="仿宋" w:eastAsia="仿宋" w:cs="仿宋"/>
                <w:sz w:val="20"/>
                <w:szCs w:val="20"/>
              </w:rPr>
            </w:pPr>
          </w:p>
        </w:tc>
        <w:tc>
          <w:tcPr>
            <w:tcW w:w="1487" w:type="dxa"/>
            <w:tcBorders>
              <w:top w:val="nil"/>
              <w:left w:val="nil"/>
              <w:bottom w:val="single" w:color="000000"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ascii="仿宋" w:hAnsi="仿宋" w:eastAsia="仿宋" w:cs="仿宋"/>
                <w:sz w:val="20"/>
                <w:szCs w:val="20"/>
              </w:rPr>
            </w:pPr>
          </w:p>
        </w:tc>
        <w:tc>
          <w:tcPr>
            <w:tcW w:w="1635" w:type="dxa"/>
            <w:tcBorders>
              <w:top w:val="nil"/>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sz w:val="20"/>
                <w:szCs w:val="20"/>
              </w:rPr>
            </w:pPr>
          </w:p>
        </w:tc>
        <w:tc>
          <w:tcPr>
            <w:tcW w:w="825" w:type="dxa"/>
            <w:tcBorders>
              <w:top w:val="nil"/>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455" w:type="dxa"/>
            <w:tcBorders>
              <w:top w:val="nil"/>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073" w:type="dxa"/>
            <w:tcBorders>
              <w:top w:val="nil"/>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90"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restar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效益指标（30分）</w:t>
            </w:r>
          </w:p>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p>
            <w:pPr>
              <w:keepNext w:val="0"/>
              <w:keepLines w:val="0"/>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经济效益指标</w:t>
            </w:r>
          </w:p>
        </w:tc>
        <w:tc>
          <w:tcPr>
            <w:tcW w:w="1603"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对县域经济社会高质量发展的所用</w:t>
            </w:r>
          </w:p>
        </w:tc>
        <w:tc>
          <w:tcPr>
            <w:tcW w:w="1487"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eastAsia" w:ascii="仿宋" w:hAnsi="仿宋" w:eastAsia="仿宋" w:cs="仿宋"/>
                <w:sz w:val="20"/>
                <w:szCs w:val="20"/>
                <w:lang w:eastAsia="zh-CN"/>
              </w:rPr>
            </w:pPr>
            <w:r>
              <w:rPr>
                <w:rFonts w:hint="eastAsia" w:ascii="仿宋" w:hAnsi="仿宋" w:eastAsia="仿宋" w:cs="仿宋"/>
                <w:sz w:val="20"/>
                <w:szCs w:val="20"/>
                <w:lang w:eastAsia="zh-CN"/>
              </w:rPr>
              <w:t>促进</w:t>
            </w:r>
          </w:p>
        </w:tc>
        <w:tc>
          <w:tcPr>
            <w:tcW w:w="1635" w:type="dxa"/>
            <w:tcBorders>
              <w:top w:val="single" w:color="000000"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促进</w:t>
            </w:r>
          </w:p>
        </w:tc>
        <w:tc>
          <w:tcPr>
            <w:tcW w:w="825" w:type="dxa"/>
            <w:tcBorders>
              <w:top w:val="single" w:color="000000"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6</w:t>
            </w:r>
          </w:p>
        </w:tc>
        <w:tc>
          <w:tcPr>
            <w:tcW w:w="1455" w:type="dxa"/>
            <w:tcBorders>
              <w:top w:val="single" w:color="000000"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073" w:type="dxa"/>
            <w:tcBorders>
              <w:top w:val="single" w:color="000000"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770" w:type="dxa"/>
            <w:vMerge w:val="continue"/>
            <w:tcBorders>
              <w:top w:val="single" w:color="000000"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ascii="仿宋" w:hAnsi="仿宋" w:eastAsia="仿宋" w:cs="仿宋"/>
                <w:color w:val="000000"/>
                <w:kern w:val="0"/>
                <w:szCs w:val="21"/>
              </w:rPr>
            </w:pPr>
          </w:p>
        </w:tc>
        <w:tc>
          <w:tcPr>
            <w:tcW w:w="1487" w:type="dxa"/>
            <w:tcBorders>
              <w:top w:val="single" w:color="000000"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ascii="仿宋" w:hAnsi="仿宋" w:eastAsia="仿宋" w:cs="仿宋"/>
                <w:color w:val="000000"/>
                <w:kern w:val="0"/>
                <w:szCs w:val="21"/>
              </w:rPr>
            </w:pPr>
          </w:p>
        </w:tc>
        <w:tc>
          <w:tcPr>
            <w:tcW w:w="1635" w:type="dxa"/>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25" w:type="dxa"/>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455" w:type="dxa"/>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073" w:type="dxa"/>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50" w:hRule="atLeast"/>
          <w:jc w:val="center"/>
        </w:trPr>
        <w:tc>
          <w:tcPr>
            <w:tcW w:w="716" w:type="dxa"/>
            <w:vMerge w:val="continue"/>
            <w:tcBorders>
              <w:top w:val="single" w:color="000000"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社会效益指标</w:t>
            </w:r>
          </w:p>
        </w:tc>
        <w:tc>
          <w:tcPr>
            <w:tcW w:w="1603" w:type="dxa"/>
            <w:gridSpan w:val="2"/>
            <w:tcBorders>
              <w:top w:val="single" w:color="000000"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对县域经济社会高质量发展的作用</w:t>
            </w:r>
          </w:p>
        </w:tc>
        <w:tc>
          <w:tcPr>
            <w:tcW w:w="1487" w:type="dxa"/>
            <w:tcBorders>
              <w:top w:val="single" w:color="000000"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促进</w:t>
            </w:r>
          </w:p>
        </w:tc>
        <w:tc>
          <w:tcPr>
            <w:tcW w:w="1635" w:type="dxa"/>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促进</w:t>
            </w:r>
          </w:p>
        </w:tc>
        <w:tc>
          <w:tcPr>
            <w:tcW w:w="825" w:type="dxa"/>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6</w:t>
            </w:r>
          </w:p>
        </w:tc>
        <w:tc>
          <w:tcPr>
            <w:tcW w:w="1455" w:type="dxa"/>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073" w:type="dxa"/>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77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ascii="仿宋" w:hAnsi="仿宋" w:eastAsia="仿宋" w:cs="仿宋"/>
                <w:color w:val="000000"/>
                <w:kern w:val="0"/>
                <w:szCs w:val="21"/>
              </w:rPr>
            </w:pPr>
          </w:p>
        </w:tc>
        <w:tc>
          <w:tcPr>
            <w:tcW w:w="1487" w:type="dxa"/>
            <w:tcBorders>
              <w:top w:val="single" w:color="000000"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ascii="仿宋" w:hAnsi="仿宋" w:eastAsia="仿宋" w:cs="仿宋"/>
                <w:color w:val="000000"/>
                <w:kern w:val="0"/>
                <w:szCs w:val="21"/>
              </w:rPr>
            </w:pPr>
          </w:p>
        </w:tc>
        <w:tc>
          <w:tcPr>
            <w:tcW w:w="1635" w:type="dxa"/>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25" w:type="dxa"/>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455" w:type="dxa"/>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073" w:type="dxa"/>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20" w:hRule="atLeast"/>
          <w:jc w:val="center"/>
        </w:trPr>
        <w:tc>
          <w:tcPr>
            <w:tcW w:w="716" w:type="dxa"/>
            <w:vMerge w:val="continue"/>
            <w:tcBorders>
              <w:top w:val="single" w:color="000000"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生态效益指标</w:t>
            </w:r>
          </w:p>
        </w:tc>
        <w:tc>
          <w:tcPr>
            <w:tcW w:w="1603" w:type="dxa"/>
            <w:gridSpan w:val="2"/>
            <w:tcBorders>
              <w:top w:val="single" w:color="000000"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对县域生态健康发展的作用</w:t>
            </w:r>
          </w:p>
        </w:tc>
        <w:tc>
          <w:tcPr>
            <w:tcW w:w="1487" w:type="dxa"/>
            <w:tcBorders>
              <w:top w:val="single" w:color="000000"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促进</w:t>
            </w:r>
          </w:p>
        </w:tc>
        <w:tc>
          <w:tcPr>
            <w:tcW w:w="1635" w:type="dxa"/>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促进</w:t>
            </w:r>
          </w:p>
        </w:tc>
        <w:tc>
          <w:tcPr>
            <w:tcW w:w="825" w:type="dxa"/>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455" w:type="dxa"/>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6</w:t>
            </w:r>
          </w:p>
        </w:tc>
        <w:tc>
          <w:tcPr>
            <w:tcW w:w="1073" w:type="dxa"/>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000000"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77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ascii="仿宋" w:hAnsi="仿宋" w:eastAsia="仿宋" w:cs="仿宋"/>
                <w:color w:val="000000"/>
                <w:kern w:val="0"/>
                <w:szCs w:val="21"/>
              </w:rPr>
            </w:pPr>
          </w:p>
        </w:tc>
        <w:tc>
          <w:tcPr>
            <w:tcW w:w="1487" w:type="dxa"/>
            <w:tcBorders>
              <w:top w:val="single" w:color="000000"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ascii="仿宋" w:hAnsi="仿宋" w:eastAsia="仿宋" w:cs="仿宋"/>
                <w:color w:val="000000"/>
                <w:kern w:val="0"/>
                <w:szCs w:val="21"/>
              </w:rPr>
            </w:pPr>
          </w:p>
        </w:tc>
        <w:tc>
          <w:tcPr>
            <w:tcW w:w="1635" w:type="dxa"/>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25" w:type="dxa"/>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455" w:type="dxa"/>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073" w:type="dxa"/>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可持续影响指标</w:t>
            </w:r>
          </w:p>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全心全意为人民服务的宗旨</w:t>
            </w:r>
          </w:p>
        </w:tc>
        <w:tc>
          <w:tcPr>
            <w:tcW w:w="1487" w:type="dxa"/>
            <w:tcBorders>
              <w:top w:val="single" w:color="000000"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强化</w:t>
            </w:r>
          </w:p>
        </w:tc>
        <w:tc>
          <w:tcPr>
            <w:tcW w:w="1635" w:type="dxa"/>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强化</w:t>
            </w:r>
          </w:p>
        </w:tc>
        <w:tc>
          <w:tcPr>
            <w:tcW w:w="825" w:type="dxa"/>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455" w:type="dxa"/>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6</w:t>
            </w:r>
          </w:p>
        </w:tc>
        <w:tc>
          <w:tcPr>
            <w:tcW w:w="1073" w:type="dxa"/>
            <w:tcBorders>
              <w:top w:val="single" w:color="000000"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35" w:hRule="atLeast"/>
          <w:jc w:val="center"/>
        </w:trPr>
        <w:tc>
          <w:tcPr>
            <w:tcW w:w="716"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77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603" w:type="dxa"/>
            <w:gridSpan w:val="2"/>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ascii="仿宋" w:hAnsi="仿宋" w:eastAsia="仿宋" w:cs="仿宋"/>
                <w:color w:val="000000"/>
                <w:kern w:val="0"/>
                <w:szCs w:val="21"/>
              </w:rPr>
            </w:pPr>
          </w:p>
        </w:tc>
        <w:tc>
          <w:tcPr>
            <w:tcW w:w="1487"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ascii="仿宋" w:hAnsi="仿宋" w:eastAsia="仿宋" w:cs="仿宋"/>
                <w:color w:val="000000"/>
                <w:kern w:val="0"/>
                <w:szCs w:val="21"/>
              </w:rPr>
            </w:pPr>
          </w:p>
        </w:tc>
        <w:tc>
          <w:tcPr>
            <w:tcW w:w="16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2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45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658" w:hRule="atLeast"/>
          <w:jc w:val="center"/>
        </w:trPr>
        <w:tc>
          <w:tcPr>
            <w:tcW w:w="716"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满意度指标（10分）</w:t>
            </w:r>
          </w:p>
        </w:tc>
        <w:tc>
          <w:tcPr>
            <w:tcW w:w="770" w:type="dxa"/>
            <w:vMerge w:val="restart"/>
            <w:tcBorders>
              <w:top w:val="single" w:color="000000" w:sz="6"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r>
              <w:rPr>
                <w:rFonts w:hint="eastAsia" w:ascii="仿宋" w:hAnsi="仿宋" w:eastAsia="仿宋" w:cs="仿宋"/>
                <w:sz w:val="20"/>
                <w:szCs w:val="20"/>
              </w:rPr>
              <w:t>服务对象满意度指标</w:t>
            </w:r>
          </w:p>
        </w:tc>
        <w:tc>
          <w:tcPr>
            <w:tcW w:w="1603"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民众满意度</w:t>
            </w:r>
          </w:p>
        </w:tc>
        <w:tc>
          <w:tcPr>
            <w:tcW w:w="148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仿宋" w:hAnsi="仿宋" w:eastAsia="仿宋" w:cs="仿宋"/>
                <w:sz w:val="20"/>
                <w:szCs w:val="20"/>
                <w:lang w:val="en-US" w:eastAsia="zh-CN"/>
              </w:rPr>
            </w:pPr>
            <w:r>
              <w:rPr>
                <w:rFonts w:hint="default" w:ascii="Arial" w:hAnsi="Arial" w:eastAsia="仿宋" w:cs="Arial"/>
                <w:sz w:val="20"/>
                <w:szCs w:val="20"/>
                <w:lang w:val="en-US" w:eastAsia="zh-CN"/>
              </w:rPr>
              <w:t>≥</w:t>
            </w:r>
            <w:r>
              <w:rPr>
                <w:rFonts w:hint="eastAsia" w:ascii="仿宋" w:hAnsi="仿宋" w:eastAsia="仿宋" w:cs="仿宋"/>
                <w:sz w:val="20"/>
                <w:szCs w:val="20"/>
                <w:lang w:val="en-US" w:eastAsia="zh-CN"/>
              </w:rPr>
              <w:t>95%</w:t>
            </w:r>
          </w:p>
        </w:tc>
        <w:tc>
          <w:tcPr>
            <w:tcW w:w="16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96%</w:t>
            </w:r>
          </w:p>
        </w:tc>
        <w:tc>
          <w:tcPr>
            <w:tcW w:w="8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4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0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668" w:hRule="atLeast"/>
          <w:jc w:val="center"/>
        </w:trPr>
        <w:tc>
          <w:tcPr>
            <w:tcW w:w="71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color w:val="000000"/>
                <w:kern w:val="0"/>
                <w:szCs w:val="21"/>
              </w:rPr>
            </w:pPr>
          </w:p>
        </w:tc>
        <w:tc>
          <w:tcPr>
            <w:tcW w:w="851"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c>
          <w:tcPr>
            <w:tcW w:w="77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ascii="仿宋" w:hAnsi="仿宋" w:eastAsia="仿宋" w:cs="仿宋"/>
                <w:sz w:val="20"/>
                <w:szCs w:val="20"/>
              </w:rPr>
            </w:pPr>
          </w:p>
        </w:tc>
        <w:tc>
          <w:tcPr>
            <w:tcW w:w="1603"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干部职工满意度</w:t>
            </w:r>
          </w:p>
        </w:tc>
        <w:tc>
          <w:tcPr>
            <w:tcW w:w="148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ascii="仿宋" w:hAnsi="仿宋" w:eastAsia="仿宋" w:cs="仿宋"/>
                <w:sz w:val="20"/>
                <w:szCs w:val="20"/>
              </w:rPr>
            </w:pPr>
            <w:r>
              <w:rPr>
                <w:rFonts w:hint="default" w:ascii="Arial" w:hAnsi="Arial" w:eastAsia="仿宋" w:cs="Arial"/>
                <w:sz w:val="20"/>
                <w:szCs w:val="20"/>
                <w:lang w:val="en-US" w:eastAsia="zh-CN"/>
              </w:rPr>
              <w:t>≥</w:t>
            </w:r>
            <w:r>
              <w:rPr>
                <w:rFonts w:hint="eastAsia" w:ascii="仿宋" w:hAnsi="仿宋" w:eastAsia="仿宋" w:cs="仿宋"/>
                <w:sz w:val="20"/>
                <w:szCs w:val="20"/>
                <w:lang w:val="en-US" w:eastAsia="zh-CN"/>
              </w:rPr>
              <w:t>95%</w:t>
            </w:r>
          </w:p>
        </w:tc>
        <w:tc>
          <w:tcPr>
            <w:tcW w:w="16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96%</w:t>
            </w:r>
          </w:p>
        </w:tc>
        <w:tc>
          <w:tcPr>
            <w:tcW w:w="8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4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0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3" w:hRule="atLeast"/>
          <w:jc w:val="center"/>
        </w:trPr>
        <w:tc>
          <w:tcPr>
            <w:tcW w:w="7062" w:type="dxa"/>
            <w:gridSpan w:val="7"/>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总分</w:t>
            </w:r>
          </w:p>
        </w:tc>
        <w:tc>
          <w:tcPr>
            <w:tcW w:w="82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145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88</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20" w:lineRule="exact"/>
              <w:ind w:left="0" w:right="0"/>
              <w:jc w:val="center"/>
              <w:rPr>
                <w:rFonts w:ascii="仿宋" w:hAnsi="仿宋" w:eastAsia="仿宋" w:cs="仿宋"/>
                <w:color w:val="000000"/>
                <w:kern w:val="0"/>
                <w:szCs w:val="21"/>
              </w:rPr>
            </w:pPr>
          </w:p>
        </w:tc>
      </w:tr>
    </w:tbl>
    <w:p>
      <w:pPr>
        <w:spacing w:line="300" w:lineRule="exact"/>
        <w:jc w:val="center"/>
        <w:rPr>
          <w:rFonts w:ascii="仿宋" w:hAnsi="仿宋" w:eastAsia="仿宋" w:cs="仿宋"/>
          <w:sz w:val="44"/>
        </w:rPr>
      </w:pPr>
    </w:p>
    <w:p>
      <w:pPr>
        <w:pStyle w:val="6"/>
        <w:widowControl/>
        <w:shd w:val="clear" w:color="auto" w:fill="FFFFFF"/>
        <w:spacing w:beforeAutospacing="0" w:afterAutospacing="0" w:line="480" w:lineRule="atLeast"/>
        <w:jc w:val="both"/>
        <w:rPr>
          <w:rFonts w:ascii="仿宋_GB2312" w:eastAsia="仿宋_GB2312" w:cs="仿宋_GB2312"/>
          <w:color w:val="000000"/>
        </w:rPr>
      </w:pPr>
      <w:r>
        <w:rPr>
          <w:rFonts w:ascii="仿宋_GB2312" w:eastAsia="仿宋_GB2312" w:cs="仿宋_GB2312"/>
          <w:color w:val="000000"/>
          <w:shd w:val="clear" w:color="auto" w:fill="FFFFFF"/>
        </w:rPr>
        <w:t>说明：1.分值设定100分，其中预算执行率10分、产出指标50分、效益指标30分、满意度指标10分。除预算执行率外的指标应根据权重自行合理设定分值。</w:t>
      </w:r>
    </w:p>
    <w:p>
      <w:pPr>
        <w:pStyle w:val="6"/>
        <w:widowControl/>
        <w:shd w:val="clear" w:color="auto" w:fill="FFFFFF"/>
        <w:spacing w:beforeAutospacing="0" w:afterAutospacing="0" w:line="480" w:lineRule="atLeast"/>
        <w:ind w:left="960" w:hanging="960" w:hangingChars="400"/>
        <w:jc w:val="both"/>
        <w:rPr>
          <w:rFonts w:ascii="仿宋_GB2312" w:eastAsia="仿宋_GB2312" w:cs="仿宋_GB2312"/>
          <w:color w:val="000000"/>
        </w:rPr>
      </w:pPr>
      <w:r>
        <w:rPr>
          <w:rFonts w:ascii="仿宋_GB2312" w:eastAsia="仿宋_GB2312" w:cs="仿宋_GB2312"/>
          <w:color w:val="000000"/>
          <w:shd w:val="clear" w:color="auto" w:fill="FFFFFF"/>
        </w:rPr>
        <w:t>     </w:t>
      </w:r>
      <w:r>
        <w:rPr>
          <w:rFonts w:hint="eastAsia" w:ascii="仿宋_GB2312" w:eastAsia="仿宋_GB2312" w:cs="仿宋_GB2312"/>
          <w:color w:val="000000"/>
          <w:shd w:val="clear" w:color="auto" w:fill="FFFFFF"/>
        </w:rPr>
        <w:t xml:space="preserve">  </w:t>
      </w:r>
      <w:r>
        <w:rPr>
          <w:rFonts w:ascii="仿宋_GB2312" w:eastAsia="仿宋_GB2312" w:cs="仿宋_GB2312"/>
          <w:color w:val="000000"/>
          <w:shd w:val="clear" w:color="auto" w:fill="FFFFFF"/>
        </w:rPr>
        <w:t>2.综合评价等级分为优秀（</w:t>
      </w:r>
      <w:r>
        <w:rPr>
          <w:rFonts w:hint="eastAsia" w:ascii="仿宋_GB2312" w:eastAsia="仿宋_GB2312" w:cs="仿宋_GB2312"/>
          <w:color w:val="000000"/>
          <w:shd w:val="clear" w:color="auto" w:fill="FFFFFF"/>
        </w:rPr>
        <w:t>大于</w:t>
      </w:r>
      <w:r>
        <w:rPr>
          <w:rFonts w:ascii="仿宋_GB2312" w:eastAsia="仿宋_GB2312" w:cs="仿宋_GB2312"/>
          <w:color w:val="000000"/>
          <w:shd w:val="clear" w:color="auto" w:fill="FFFFFF"/>
        </w:rPr>
        <w:t>90</w:t>
      </w:r>
      <w:r>
        <w:rPr>
          <w:rFonts w:hint="eastAsia" w:ascii="仿宋_GB2312" w:eastAsia="仿宋_GB2312" w:cs="仿宋_GB2312"/>
          <w:color w:val="000000"/>
          <w:shd w:val="clear" w:color="auto" w:fill="FFFFFF"/>
        </w:rPr>
        <w:t>分</w:t>
      </w:r>
      <w:r>
        <w:rPr>
          <w:rFonts w:ascii="仿宋_GB2312" w:eastAsia="仿宋_GB2312" w:cs="仿宋_GB2312"/>
          <w:color w:val="000000"/>
          <w:shd w:val="clear" w:color="auto" w:fill="FFFFFF"/>
        </w:rPr>
        <w:t>）、良好（</w:t>
      </w:r>
      <w:r>
        <w:rPr>
          <w:rFonts w:hint="eastAsia" w:ascii="仿宋_GB2312" w:eastAsia="仿宋_GB2312" w:cs="仿宋_GB2312"/>
          <w:color w:val="000000"/>
          <w:shd w:val="clear" w:color="auto" w:fill="FFFFFF"/>
        </w:rPr>
        <w:t>80-90分</w:t>
      </w:r>
      <w:r>
        <w:rPr>
          <w:rFonts w:ascii="仿宋_GB2312" w:eastAsia="仿宋_GB2312" w:cs="仿宋_GB2312"/>
          <w:color w:val="000000"/>
          <w:shd w:val="clear" w:color="auto" w:fill="FFFFFF"/>
        </w:rPr>
        <w:t>）、较差（</w:t>
      </w:r>
      <w:r>
        <w:rPr>
          <w:rFonts w:hint="eastAsia" w:ascii="仿宋_GB2312" w:eastAsia="仿宋_GB2312" w:cs="仿宋_GB2312"/>
          <w:color w:val="000000"/>
          <w:shd w:val="clear" w:color="auto" w:fill="FFFFFF"/>
        </w:rPr>
        <w:t>60-80分</w:t>
      </w:r>
      <w:r>
        <w:rPr>
          <w:rFonts w:ascii="仿宋_GB2312" w:eastAsia="仿宋_GB2312" w:cs="仿宋_GB2312"/>
          <w:color w:val="000000"/>
          <w:shd w:val="clear" w:color="auto" w:fill="FFFFFF"/>
        </w:rPr>
        <w:t>）、 差（</w:t>
      </w:r>
      <w:r>
        <w:rPr>
          <w:rFonts w:hint="eastAsia" w:ascii="仿宋_GB2312" w:eastAsia="仿宋_GB2312" w:cs="仿宋_GB2312"/>
          <w:color w:val="000000"/>
          <w:shd w:val="clear" w:color="auto" w:fill="FFFFFF"/>
        </w:rPr>
        <w:t>小于60分</w:t>
      </w:r>
      <w:r>
        <w:rPr>
          <w:rFonts w:ascii="仿宋_GB2312" w:eastAsia="仿宋_GB2312" w:cs="仿宋_GB2312"/>
          <w:color w:val="000000"/>
          <w:shd w:val="clear" w:color="auto" w:fill="FFFFFF"/>
        </w:rPr>
        <w:t>）</w:t>
      </w:r>
      <w:r>
        <w:rPr>
          <w:rFonts w:ascii="Calibri" w:hAnsi="Calibri" w:eastAsia="仿宋_GB2312" w:cs="Calibri"/>
          <w:color w:val="000000"/>
          <w:shd w:val="clear" w:color="auto" w:fill="FFFFFF"/>
        </w:rPr>
        <w:t>。</w:t>
      </w:r>
    </w:p>
    <w:p>
      <w:pPr>
        <w:pStyle w:val="6"/>
        <w:widowControl/>
        <w:shd w:val="clear" w:color="auto" w:fill="FFFFFF"/>
        <w:spacing w:beforeAutospacing="0" w:afterAutospacing="0" w:line="480" w:lineRule="atLeast"/>
        <w:jc w:val="both"/>
        <w:rPr>
          <w:color w:val="000000"/>
        </w:rPr>
      </w:pPr>
      <w:r>
        <w:rPr>
          <w:rFonts w:ascii="仿宋_GB2312" w:eastAsia="仿宋_GB2312" w:cs="仿宋_GB2312"/>
          <w:color w:val="000000"/>
          <w:shd w:val="clear" w:color="auto" w:fill="FFFFFF"/>
        </w:rPr>
        <w:t>     </w:t>
      </w:r>
      <w:r>
        <w:rPr>
          <w:rFonts w:hint="eastAsia" w:ascii="仿宋_GB2312" w:eastAsia="仿宋_GB2312" w:cs="仿宋_GB2312"/>
          <w:color w:val="000000"/>
          <w:shd w:val="clear" w:color="auto" w:fill="FFFFFF"/>
        </w:rPr>
        <w:t xml:space="preserve">  </w:t>
      </w:r>
      <w:r>
        <w:rPr>
          <w:rFonts w:ascii="仿宋_GB2312" w:eastAsia="仿宋_GB2312" w:cs="仿宋_GB2312"/>
          <w:color w:val="000000"/>
          <w:shd w:val="clear" w:color="auto" w:fill="FFFFFF"/>
        </w:rPr>
        <w:t>3.三级绩效指标按需自行增减行。个别不涉及的二级指标可删除不要。</w:t>
      </w:r>
    </w:p>
    <w:p>
      <w:pPr>
        <w:pStyle w:val="6"/>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6"/>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6"/>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6"/>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6"/>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6"/>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6"/>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小标宋">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D6DCE7"/>
    <w:multiLevelType w:val="singleLevel"/>
    <w:tmpl w:val="6DD6DCE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iNDk1NGY5NmUwNzIzNzU4ZjYzODBmMGZkMmUzZmMifQ=="/>
  </w:docVars>
  <w:rsids>
    <w:rsidRoot w:val="00A34FEF"/>
    <w:rsid w:val="00212565"/>
    <w:rsid w:val="008D5CE1"/>
    <w:rsid w:val="00A34FEF"/>
    <w:rsid w:val="00AD6A00"/>
    <w:rsid w:val="00EA3FF1"/>
    <w:rsid w:val="00F8057A"/>
    <w:rsid w:val="023B6716"/>
    <w:rsid w:val="050C1EA9"/>
    <w:rsid w:val="08E43B13"/>
    <w:rsid w:val="11C20747"/>
    <w:rsid w:val="19B87512"/>
    <w:rsid w:val="1BF14AB3"/>
    <w:rsid w:val="1E6B7F0E"/>
    <w:rsid w:val="2AF5102E"/>
    <w:rsid w:val="2ED266D7"/>
    <w:rsid w:val="31BE28A4"/>
    <w:rsid w:val="3F35456F"/>
    <w:rsid w:val="3F895BC8"/>
    <w:rsid w:val="431421BB"/>
    <w:rsid w:val="51EF1B78"/>
    <w:rsid w:val="53CD1E8A"/>
    <w:rsid w:val="59D85263"/>
    <w:rsid w:val="73A26405"/>
    <w:rsid w:val="743A4D55"/>
    <w:rsid w:val="7C390CE4"/>
    <w:rsid w:val="7F7B5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customStyle="1" w:styleId="2">
    <w:name w:val="No Spacing_ad81b47b-6779-4c76-b471-79375858c8cb"/>
    <w:basedOn w:val="1"/>
    <w:qFormat/>
    <w:uiPriority w:val="99"/>
    <w:pPr>
      <w:ind w:firstLine="200" w:firstLineChars="200"/>
    </w:pPr>
    <w:rPr>
      <w:rFonts w:ascii="Calibri" w:hAnsi="Calibri" w:eastAsia="宋体" w:cs="Times New Roman"/>
      <w:lang w:val="en-US" w:eastAsia="zh-CN" w:bidi="ar-SA"/>
    </w:rPr>
  </w:style>
  <w:style w:type="paragraph" w:styleId="3">
    <w:name w:val="table of authorities"/>
    <w:basedOn w:val="1"/>
    <w:next w:val="1"/>
    <w:qFormat/>
    <w:uiPriority w:val="0"/>
    <w:pPr>
      <w:ind w:left="420" w:leftChars="200"/>
    </w:pPr>
  </w:style>
  <w:style w:type="paragraph" w:styleId="4">
    <w:name w:val="Body Text"/>
    <w:basedOn w:val="1"/>
    <w:qFormat/>
    <w:uiPriority w:val="0"/>
    <w:pPr>
      <w:spacing w:line="0" w:lineRule="atLeast"/>
    </w:pPr>
    <w:rPr>
      <w:rFonts w:eastAsia="小标宋"/>
      <w:sz w:val="44"/>
    </w:rPr>
  </w:style>
  <w:style w:type="paragraph" w:styleId="5">
    <w:name w:val="Body Text 2"/>
    <w:basedOn w:val="1"/>
    <w:unhideWhenUsed/>
    <w:qFormat/>
    <w:uiPriority w:val="99"/>
    <w:pPr>
      <w:adjustRightInd w:val="0"/>
      <w:snapToGrid w:val="0"/>
      <w:spacing w:line="300" w:lineRule="auto"/>
    </w:pPr>
    <w:rPr>
      <w:rFonts w:ascii="宋体" w:hAnsi="宋体"/>
      <w:sz w:val="28"/>
    </w:rPr>
  </w:style>
  <w:style w:type="paragraph" w:styleId="6">
    <w:name w:val="Normal (Web)"/>
    <w:basedOn w:val="1"/>
    <w:qFormat/>
    <w:uiPriority w:val="0"/>
    <w:pPr>
      <w:spacing w:beforeAutospacing="1" w:afterAutospacing="1"/>
      <w:jc w:val="left"/>
    </w:pPr>
    <w:rPr>
      <w:kern w:val="0"/>
      <w:sz w:val="24"/>
    </w:rPr>
  </w:style>
  <w:style w:type="character" w:customStyle="1" w:styleId="9">
    <w:name w:val="NormalCharacter"/>
    <w:basedOn w:val="8"/>
    <w:qFormat/>
    <w:uiPriority w:val="0"/>
    <w:rPr>
      <w:rFonts w:hint="default" w:ascii="Calibri" w:hAnsi="Calibri" w:eastAsia="宋体" w:cs="Times New Roman"/>
      <w:kern w:val="2"/>
      <w:sz w:val="21"/>
      <w:szCs w:val="22"/>
      <w:lang w:val="en-US" w:eastAsia="zh-CN" w:bidi="ar"/>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351</Words>
  <Characters>2002</Characters>
  <Lines>16</Lines>
  <Paragraphs>4</Paragraphs>
  <TotalTime>27</TotalTime>
  <ScaleCrop>false</ScaleCrop>
  <LinksUpToDate>false</LinksUpToDate>
  <CharactersWithSpaces>2349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2023-08-22T02:49:00Z</dcterms:created>
  <dc:creator>Administrator</dc:creator>
  <cp:lastModifiedBy>妙</cp:lastModifiedBy>
  <cp:lastPrinted>2023-08-28T01:11:00Z</cp:lastPrinted>
  <dcterms:modified xsi:type="dcterms:W3CDTF">2023-09-06T01:14:51Z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EF02E1316E5040D281E9974B4112DA9B_13</vt:lpwstr>
  </property>
</Properties>
</file>