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lang w:eastAsia="zh-CN"/>
        </w:rPr>
      </w:pPr>
    </w:p>
    <w:p>
      <w:pPr>
        <w:pStyle w:val="4"/>
        <w:widowControl/>
        <w:shd w:val="clear" w:color="auto" w:fill="FFFFFF"/>
        <w:spacing w:beforeAutospacing="0" w:afterAutospacing="0" w:line="480" w:lineRule="atLeast"/>
        <w:jc w:val="center"/>
        <w:rPr>
          <w:rFonts w:ascii="楷体" w:hAnsi="楷体" w:eastAsia="楷体" w:cs="楷体"/>
          <w:b/>
          <w:color w:val="000000"/>
          <w:sz w:val="44"/>
          <w:szCs w:val="44"/>
          <w:shd w:val="clear" w:color="auto" w:fill="FFFFFF"/>
        </w:rPr>
      </w:pPr>
      <w:r>
        <w:rPr>
          <w:rFonts w:hint="eastAsia" w:ascii="黑体" w:hAnsi="黑体" w:eastAsia="黑体" w:cs="楷体"/>
          <w:b/>
          <w:color w:val="000000"/>
          <w:sz w:val="44"/>
          <w:szCs w:val="44"/>
          <w:shd w:val="clear" w:color="auto" w:fill="FFFFFF"/>
        </w:rPr>
        <w:t>绥宁县</w:t>
      </w:r>
      <w:r>
        <w:rPr>
          <w:rFonts w:hint="eastAsia" w:ascii="黑体" w:hAnsi="黑体" w:eastAsia="黑体" w:cs="楷体"/>
          <w:b/>
          <w:color w:val="000000"/>
          <w:sz w:val="44"/>
          <w:szCs w:val="44"/>
          <w:lang w:eastAsia="zh-CN"/>
        </w:rPr>
        <w:t>市场监督管理局</w:t>
      </w:r>
      <w:r>
        <w:rPr>
          <w:rFonts w:hint="eastAsia" w:ascii="黑体" w:hAnsi="黑体" w:eastAsia="黑体" w:cs="黑体"/>
          <w:b/>
          <w:color w:val="000000"/>
          <w:sz w:val="44"/>
          <w:szCs w:val="44"/>
          <w:shd w:val="clear" w:color="auto" w:fill="FFFFFF"/>
        </w:rPr>
        <w:t>2022年度部门整体支出绩效自评报告</w:t>
      </w:r>
    </w:p>
    <w:p>
      <w:pPr>
        <w:widowControl/>
        <w:ind w:firstLine="640" w:firstLineChars="200"/>
        <w:rPr>
          <w:rFonts w:hint="eastAsia" w:ascii="仿宋" w:hAnsi="仿宋" w:eastAsia="仿宋" w:cs="仿宋"/>
          <w:color w:val="000000"/>
          <w:kern w:val="0"/>
          <w:sz w:val="32"/>
          <w:szCs w:val="32"/>
        </w:rPr>
      </w:pPr>
    </w:p>
    <w:p>
      <w:pPr>
        <w:widowControl/>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为进一步规范和加强预算资金管理，提高财政资金使用绩效，根据县财政局《关于开展2022年度财政支出绩效自评工作的通知》（绥财绩〔2023〕1号）相关要求，我部门对部门整体支出情况实施了绩效自评，现将自评情况报告如下：</w:t>
      </w:r>
    </w:p>
    <w:p>
      <w:pPr>
        <w:pStyle w:val="4"/>
        <w:widowControl/>
        <w:shd w:val="clear" w:color="auto" w:fill="FFFFFF"/>
        <w:spacing w:beforeAutospacing="0" w:afterAutospacing="0" w:line="480" w:lineRule="atLeast"/>
        <w:ind w:left="64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一、部门基本情况</w:t>
      </w:r>
    </w:p>
    <w:p>
      <w:pPr>
        <w:pStyle w:val="4"/>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（一）部门职能职责</w:t>
      </w:r>
    </w:p>
    <w:p>
      <w:pPr>
        <w:snapToGrid w:val="0"/>
        <w:spacing w:line="52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贯彻执行国家、省、市有关工商行政管理、质量技术监督、食品药品监督管理等方面的法律、法规和政策；拟定相关规范性文件、办法和措施并组织实施；依法开展市场监督管理和行政执法的有关工作；制定组织实施食品药品工商质量监督管理事业发展规划和技术机构建设规划，组织推进质量发展和商标战略工作，负责市场监督管理信息化建设，建立健全市场主体社会信用体系；负责涉及工商行政管理、质量技术食品药品监督管理的各类行政审批和行政许可监督管理；组织查处违反工商行政管理、质量技术监督、食品药品监督管理法律、法规、规章的行为；承担依法查处取缔无证无照经营行为的责任；承担县食品安全委员会日常工作；负责食品生产、流通、消费环节的安全监督管理职责；负责食品质量监督抽查、检测工作；承担酒类流通及保健食品市场监管职责；依法查处食品安全违法行为；负责药品、医疗器械、保健食品和化妆品质量安全的监督管理；负责制定并组织实施全县产品质量监督、食品药品安全科技发展政策措施，推动产品质量、食品药品检验检测体系和监管追溯体系；依法承担对有关市场秩序的监督管理责任；依法实施对商标使用和广告活动的监督管理工作；依法查处商标侵权行为，保护注册商标专用权；依法保护取名商标、地理标志商标、特殊标志、官方标志，指导广告业发展，依法开展广告监督管理工作；依法实施合同行政管理，组织实施消费类合同格式条款备案；依法查处合同欺诈等违法行为；负责管理动产抵押登记，组织监督管理拍卖行为；依法承担消费者权益保护责任，建立消费都权益保护体系，组织指导消费维权工作；负责涉及工商行政管理、质量技术监督、食品药品监督管理的申诉和举报工作；查处侵害消费者合法权益的违法行为；承办产品质量诚信体系建设有关工作；负责计量监督管理工作；负责标准化管理工作；负责特种设备安全监察工作；负责产品质量安全监督和认证认可工作；承办上级工商行政管理、质量技术监督、食品药品监督管理部门和县委、县政府交办的其他事项。</w:t>
      </w:r>
    </w:p>
    <w:p>
      <w:pPr>
        <w:pStyle w:val="4"/>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（二）机构设置情况</w:t>
      </w:r>
    </w:p>
    <w:p>
      <w:pPr>
        <w:pStyle w:val="4"/>
        <w:widowControl/>
        <w:shd w:val="clear" w:color="auto" w:fill="FFFFFF"/>
        <w:spacing w:beforeAutospacing="0" w:afterAutospacing="0" w:line="480" w:lineRule="atLeas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2022年末，我部门内设股室</w:t>
      </w:r>
      <w:r>
        <w:rPr>
          <w:rFonts w:hint="eastAsia" w:ascii="仿宋" w:hAnsi="仿宋" w:eastAsia="仿宋" w:cs="仿宋"/>
          <w:color w:val="000000"/>
          <w:sz w:val="32"/>
          <w:szCs w:val="32"/>
          <w:shd w:val="clear" w:color="auto" w:fill="FFFFFF"/>
          <w:lang w:val="en-US" w:eastAsia="zh-CN"/>
        </w:rPr>
        <w:t>12</w:t>
      </w:r>
      <w:r>
        <w:rPr>
          <w:rFonts w:hint="eastAsia" w:ascii="仿宋" w:hAnsi="仿宋" w:eastAsia="仿宋" w:cs="仿宋"/>
          <w:color w:val="000000"/>
          <w:sz w:val="32"/>
          <w:szCs w:val="32"/>
          <w:shd w:val="clear" w:color="auto" w:fill="FFFFFF"/>
        </w:rPr>
        <w:t>个，所属事业单位</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个。</w:t>
      </w:r>
    </w:p>
    <w:p>
      <w:pPr>
        <w:pStyle w:val="4"/>
        <w:widowControl/>
        <w:shd w:val="clear" w:color="auto" w:fill="FFFFFF"/>
        <w:spacing w:beforeAutospacing="0" w:afterAutospacing="0" w:line="480" w:lineRule="atLeast"/>
        <w:ind w:left="640"/>
        <w:rPr>
          <w:rFonts w:hint="eastAsia" w:ascii="仿宋_GB2312" w:hAnsi="仿宋_GB2312" w:eastAsia="仿宋_GB2312" w:cs="仿宋_GB2312"/>
          <w:b w:val="0"/>
          <w:bCs/>
          <w:sz w:val="32"/>
          <w:szCs w:val="32"/>
          <w:lang w:eastAsia="zh-CN"/>
        </w:rPr>
      </w:pPr>
      <w:r>
        <w:rPr>
          <w:rFonts w:hint="eastAsia" w:ascii="仿宋" w:hAnsi="仿宋" w:eastAsia="仿宋" w:cs="仿宋"/>
          <w:color w:val="000000"/>
          <w:sz w:val="32"/>
          <w:szCs w:val="32"/>
          <w:shd w:val="clear" w:color="auto" w:fill="FFFFFF"/>
        </w:rPr>
        <w:t>内设股室分别是：</w:t>
      </w:r>
      <w:r>
        <w:rPr>
          <w:rFonts w:hint="eastAsia" w:ascii="仿宋_GB2312" w:hAnsi="仿宋_GB2312" w:eastAsia="仿宋_GB2312" w:cs="仿宋_GB2312"/>
          <w:b w:val="0"/>
          <w:bCs/>
          <w:sz w:val="32"/>
          <w:szCs w:val="32"/>
        </w:rPr>
        <w:t>办公室、政工</w:t>
      </w:r>
      <w:r>
        <w:rPr>
          <w:rFonts w:hint="eastAsia" w:ascii="仿宋_GB2312" w:hAnsi="仿宋_GB2312" w:eastAsia="仿宋_GB2312" w:cs="仿宋_GB2312"/>
          <w:b w:val="0"/>
          <w:bCs/>
          <w:sz w:val="32"/>
          <w:szCs w:val="32"/>
          <w:lang w:eastAsia="zh-CN"/>
        </w:rPr>
        <w:t>股</w:t>
      </w:r>
      <w:r>
        <w:rPr>
          <w:rFonts w:hint="eastAsia" w:ascii="仿宋_GB2312" w:hAnsi="仿宋_GB2312" w:eastAsia="仿宋_GB2312" w:cs="仿宋_GB2312"/>
          <w:b w:val="0"/>
          <w:bCs/>
          <w:sz w:val="32"/>
          <w:szCs w:val="32"/>
        </w:rPr>
        <w:t>、行政审批</w:t>
      </w:r>
      <w:r>
        <w:rPr>
          <w:rFonts w:hint="eastAsia" w:ascii="仿宋_GB2312" w:hAnsi="仿宋_GB2312" w:eastAsia="仿宋_GB2312" w:cs="仿宋_GB2312"/>
          <w:b w:val="0"/>
          <w:bCs/>
          <w:sz w:val="32"/>
          <w:szCs w:val="32"/>
          <w:lang w:eastAsia="zh-CN"/>
        </w:rPr>
        <w:t>服务</w:t>
      </w:r>
      <w:r>
        <w:rPr>
          <w:rFonts w:hint="eastAsia" w:ascii="仿宋_GB2312" w:hAnsi="仿宋_GB2312" w:eastAsia="仿宋_GB2312" w:cs="仿宋_GB2312"/>
          <w:b w:val="0"/>
          <w:bCs/>
          <w:sz w:val="32"/>
          <w:szCs w:val="32"/>
        </w:rPr>
        <w:t>股</w:t>
      </w:r>
      <w:r>
        <w:rPr>
          <w:rFonts w:hint="eastAsia" w:ascii="仿宋_GB2312" w:hAnsi="仿宋_GB2312" w:eastAsia="仿宋_GB2312" w:cs="仿宋_GB2312"/>
          <w:b w:val="0"/>
          <w:bCs/>
          <w:sz w:val="32"/>
          <w:szCs w:val="32"/>
          <w:lang w:eastAsia="zh-CN"/>
        </w:rPr>
        <w:t>、</w:t>
      </w:r>
    </w:p>
    <w:p>
      <w:pPr>
        <w:pStyle w:val="4"/>
        <w:widowControl/>
        <w:shd w:val="clear" w:color="auto" w:fill="FFFFFF"/>
        <w:spacing w:beforeAutospacing="0" w:afterAutospacing="0" w:line="480" w:lineRule="atLeast"/>
        <w:rPr>
          <w:rFonts w:ascii="仿宋" w:hAnsi="仿宋" w:eastAsia="仿宋" w:cs="仿宋"/>
          <w:color w:val="000000"/>
          <w:sz w:val="32"/>
          <w:szCs w:val="32"/>
          <w:shd w:val="clear" w:color="auto" w:fill="FFFFFF"/>
        </w:rPr>
      </w:pPr>
      <w:r>
        <w:rPr>
          <w:rFonts w:hint="eastAsia" w:ascii="仿宋_GB2312" w:hAnsi="仿宋_GB2312" w:eastAsia="仿宋_GB2312" w:cs="仿宋_GB2312"/>
          <w:b w:val="0"/>
          <w:bCs/>
          <w:sz w:val="32"/>
          <w:szCs w:val="32"/>
          <w:lang w:eastAsia="zh-CN"/>
        </w:rPr>
        <w:t>政策法</w:t>
      </w:r>
      <w:r>
        <w:rPr>
          <w:rFonts w:hint="eastAsia" w:ascii="仿宋_GB2312" w:hAnsi="仿宋_GB2312" w:eastAsia="仿宋_GB2312" w:cs="仿宋_GB2312"/>
          <w:b w:val="0"/>
          <w:bCs/>
          <w:sz w:val="32"/>
          <w:szCs w:val="32"/>
        </w:rPr>
        <w:t>规股、</w:t>
      </w:r>
      <w:r>
        <w:rPr>
          <w:rFonts w:hint="eastAsia" w:ascii="仿宋_GB2312" w:hAnsi="仿宋_GB2312" w:eastAsia="仿宋_GB2312" w:cs="仿宋_GB2312"/>
          <w:b w:val="0"/>
          <w:bCs/>
          <w:sz w:val="32"/>
          <w:szCs w:val="32"/>
          <w:lang w:eastAsia="zh-CN"/>
        </w:rPr>
        <w:t>信用监督管理股、市场秩序监督管理股、质量监督管理股、</w:t>
      </w:r>
      <w:r>
        <w:rPr>
          <w:rFonts w:hint="eastAsia" w:ascii="仿宋_GB2312" w:hAnsi="仿宋_GB2312" w:eastAsia="仿宋_GB2312" w:cs="仿宋_GB2312"/>
          <w:b w:val="0"/>
          <w:bCs/>
          <w:sz w:val="32"/>
          <w:szCs w:val="32"/>
        </w:rPr>
        <w:t>食品安全</w:t>
      </w:r>
      <w:r>
        <w:rPr>
          <w:rFonts w:hint="eastAsia" w:ascii="仿宋_GB2312" w:hAnsi="仿宋_GB2312" w:eastAsia="仿宋_GB2312" w:cs="仿宋_GB2312"/>
          <w:b w:val="0"/>
          <w:bCs/>
          <w:sz w:val="32"/>
          <w:szCs w:val="32"/>
          <w:lang w:eastAsia="zh-CN"/>
        </w:rPr>
        <w:t>监督管理股</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特种设备安全监察股、标准计量监督管理股、知识产权保护股、药品医疗器械监督管理股。</w:t>
      </w:r>
      <w:r>
        <w:rPr>
          <w:rFonts w:hint="eastAsia" w:ascii="仿宋_GB2312" w:hAnsi="仿宋_GB2312" w:eastAsia="仿宋_GB2312" w:cs="仿宋_GB2312"/>
          <w:color w:val="000000"/>
          <w:sz w:val="31"/>
          <w:szCs w:val="31"/>
        </w:rPr>
        <w:t>。</w:t>
      </w:r>
    </w:p>
    <w:p>
      <w:pPr>
        <w:snapToGrid w:val="0"/>
        <w:spacing w:line="520" w:lineRule="exact"/>
        <w:ind w:firstLine="640" w:firstLineChars="200"/>
        <w:rPr>
          <w:rFonts w:ascii="Arial" w:hAnsi="Arial" w:eastAsia="楷体" w:cs="Arial"/>
          <w:b/>
          <w:bCs/>
          <w:color w:val="000000"/>
          <w:sz w:val="32"/>
          <w:szCs w:val="32"/>
          <w:shd w:val="clear" w:color="auto" w:fill="FFFFFF"/>
        </w:rPr>
      </w:pPr>
      <w:r>
        <w:rPr>
          <w:rFonts w:hint="eastAsia" w:ascii="仿宋" w:hAnsi="仿宋" w:eastAsia="仿宋" w:cs="仿宋"/>
          <w:color w:val="000000"/>
          <w:sz w:val="32"/>
          <w:szCs w:val="32"/>
          <w:shd w:val="clear" w:color="auto" w:fill="FFFFFF"/>
        </w:rPr>
        <w:t>所属事业单位分别是：</w:t>
      </w:r>
      <w:r>
        <w:rPr>
          <w:rFonts w:hint="eastAsia" w:ascii="仿宋_GB2312" w:hAnsi="仿宋_GB2312" w:eastAsia="仿宋_GB2312" w:cs="仿宋_GB2312"/>
          <w:b w:val="0"/>
          <w:bCs/>
          <w:sz w:val="32"/>
          <w:szCs w:val="32"/>
          <w:lang w:eastAsia="zh-CN"/>
        </w:rPr>
        <w:t>绥宁县市场监管综合行政执法大队、绥宁县质量监督</w:t>
      </w:r>
      <w:r>
        <w:rPr>
          <w:rFonts w:hint="eastAsia" w:ascii="仿宋_GB2312" w:hAnsi="仿宋_GB2312" w:eastAsia="仿宋_GB2312" w:cs="仿宋_GB2312"/>
          <w:b w:val="0"/>
          <w:bCs/>
          <w:sz w:val="32"/>
          <w:szCs w:val="32"/>
        </w:rPr>
        <w:t>检验</w:t>
      </w:r>
      <w:r>
        <w:rPr>
          <w:rFonts w:hint="eastAsia" w:ascii="仿宋_GB2312" w:hAnsi="仿宋_GB2312" w:eastAsia="仿宋_GB2312" w:cs="仿宋_GB2312"/>
          <w:b w:val="0"/>
          <w:bCs/>
          <w:sz w:val="32"/>
          <w:szCs w:val="32"/>
          <w:lang w:eastAsia="zh-CN"/>
        </w:rPr>
        <w:t>及计量</w:t>
      </w:r>
      <w:r>
        <w:rPr>
          <w:rFonts w:hint="eastAsia" w:ascii="仿宋_GB2312" w:hAnsi="仿宋_GB2312" w:eastAsia="仿宋_GB2312" w:cs="仿宋_GB2312"/>
          <w:b w:val="0"/>
          <w:bCs/>
          <w:sz w:val="32"/>
          <w:szCs w:val="32"/>
        </w:rPr>
        <w:t>检</w:t>
      </w:r>
      <w:r>
        <w:rPr>
          <w:rFonts w:hint="eastAsia" w:ascii="仿宋_GB2312" w:hAnsi="仿宋_GB2312" w:eastAsia="仿宋_GB2312" w:cs="仿宋_GB2312"/>
          <w:b w:val="0"/>
          <w:bCs/>
          <w:sz w:val="32"/>
          <w:szCs w:val="32"/>
          <w:lang w:eastAsia="zh-CN"/>
        </w:rPr>
        <w:t>定</w:t>
      </w:r>
      <w:r>
        <w:rPr>
          <w:rFonts w:hint="eastAsia" w:ascii="仿宋_GB2312" w:hAnsi="仿宋_GB2312" w:eastAsia="仿宋_GB2312" w:cs="仿宋_GB2312"/>
          <w:b w:val="0"/>
          <w:bCs/>
          <w:sz w:val="32"/>
          <w:szCs w:val="32"/>
        </w:rPr>
        <w:t>所、</w:t>
      </w:r>
      <w:r>
        <w:rPr>
          <w:rFonts w:hint="eastAsia" w:ascii="仿宋_GB2312" w:hAnsi="仿宋_GB2312" w:eastAsia="仿宋_GB2312" w:cs="仿宋_GB2312"/>
          <w:b w:val="0"/>
          <w:bCs/>
          <w:sz w:val="32"/>
          <w:szCs w:val="32"/>
          <w:lang w:eastAsia="zh-CN"/>
        </w:rPr>
        <w:t>绥宁县消费维权事务</w:t>
      </w:r>
      <w:r>
        <w:rPr>
          <w:rFonts w:hint="eastAsia" w:ascii="仿宋_GB2312" w:hAnsi="仿宋_GB2312" w:eastAsia="仿宋_GB2312" w:cs="仿宋_GB2312"/>
          <w:b w:val="0"/>
          <w:bCs/>
          <w:sz w:val="32"/>
          <w:szCs w:val="32"/>
        </w:rPr>
        <w:t>中心、</w:t>
      </w:r>
      <w:r>
        <w:rPr>
          <w:rFonts w:hint="eastAsia" w:ascii="仿宋_GB2312" w:hAnsi="仿宋_GB2312" w:eastAsia="仿宋_GB2312" w:cs="仿宋_GB2312"/>
          <w:b w:val="0"/>
          <w:bCs/>
          <w:sz w:val="32"/>
          <w:szCs w:val="32"/>
          <w:lang w:eastAsia="zh-CN"/>
        </w:rPr>
        <w:t>绥宁县</w:t>
      </w:r>
      <w:r>
        <w:rPr>
          <w:rFonts w:hint="eastAsia" w:ascii="仿宋_GB2312" w:hAnsi="仿宋_GB2312" w:eastAsia="仿宋_GB2312" w:cs="仿宋_GB2312"/>
          <w:b w:val="0"/>
          <w:bCs/>
          <w:sz w:val="32"/>
          <w:szCs w:val="32"/>
        </w:rPr>
        <w:t>个体私营经济发展指导中心、</w:t>
      </w:r>
      <w:r>
        <w:rPr>
          <w:rFonts w:hint="eastAsia" w:ascii="仿宋_GB2312" w:hAnsi="仿宋_GB2312" w:eastAsia="仿宋_GB2312" w:cs="仿宋_GB2312"/>
          <w:b w:val="0"/>
          <w:bCs/>
          <w:sz w:val="32"/>
          <w:szCs w:val="32"/>
          <w:lang w:eastAsia="zh-CN"/>
        </w:rPr>
        <w:t>绥宁县市场监督管理局</w:t>
      </w:r>
      <w:r>
        <w:rPr>
          <w:rFonts w:hint="eastAsia" w:ascii="仿宋_GB2312" w:hAnsi="仿宋_GB2312" w:eastAsia="仿宋_GB2312" w:cs="仿宋_GB2312"/>
          <w:b w:val="0"/>
          <w:bCs/>
          <w:sz w:val="32"/>
          <w:szCs w:val="32"/>
        </w:rPr>
        <w:t>信息中心</w:t>
      </w:r>
      <w:r>
        <w:rPr>
          <w:rFonts w:hint="eastAsia" w:ascii="仿宋_GB2312" w:hAnsi="仿宋_GB2312" w:eastAsia="仿宋_GB2312" w:cs="仿宋_GB2312"/>
          <w:color w:val="000000"/>
          <w:sz w:val="31"/>
          <w:szCs w:val="31"/>
        </w:rPr>
        <w:t>。</w:t>
      </w:r>
    </w:p>
    <w:p>
      <w:pPr>
        <w:pStyle w:val="4"/>
        <w:shd w:val="clear" w:color="auto" w:fill="FFFFFF"/>
        <w:spacing w:beforeAutospacing="0" w:afterAutospacing="0" w:line="480" w:lineRule="atLeast"/>
        <w:ind w:left="641"/>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（三）人员编制情况</w:t>
      </w:r>
    </w:p>
    <w:p>
      <w:pPr>
        <w:pStyle w:val="4"/>
        <w:shd w:val="clear" w:color="auto" w:fill="FFFFFF"/>
        <w:spacing w:beforeAutospacing="0" w:afterAutospacing="0" w:line="480" w:lineRule="atLeast"/>
        <w:ind w:firstLine="640" w:firstLineChars="20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rPr>
        <w:t>2</w:t>
      </w:r>
      <w:r>
        <w:rPr>
          <w:rFonts w:ascii="仿宋" w:hAnsi="仿宋" w:eastAsia="仿宋" w:cs="仿宋"/>
          <w:color w:val="000000"/>
          <w:sz w:val="32"/>
          <w:szCs w:val="32"/>
          <w:shd w:val="clear" w:color="auto" w:fill="FFFFFF"/>
        </w:rPr>
        <w:t>年末，我</w:t>
      </w:r>
      <w:r>
        <w:rPr>
          <w:rFonts w:hint="eastAsia" w:ascii="仿宋" w:hAnsi="仿宋" w:eastAsia="仿宋" w:cs="仿宋"/>
          <w:color w:val="000000"/>
          <w:sz w:val="32"/>
          <w:szCs w:val="32"/>
          <w:shd w:val="clear" w:color="auto" w:fill="FFFFFF"/>
        </w:rPr>
        <w:t>部门</w:t>
      </w:r>
      <w:r>
        <w:rPr>
          <w:rFonts w:ascii="仿宋" w:hAnsi="仿宋" w:eastAsia="仿宋" w:cs="仿宋"/>
          <w:color w:val="000000"/>
          <w:sz w:val="32"/>
          <w:szCs w:val="32"/>
          <w:shd w:val="clear" w:color="auto" w:fill="FFFFFF"/>
        </w:rPr>
        <w:t>共有编制</w:t>
      </w:r>
      <w:r>
        <w:rPr>
          <w:rFonts w:hint="eastAsia" w:ascii="仿宋" w:hAnsi="仿宋" w:eastAsia="仿宋" w:cs="仿宋"/>
          <w:color w:val="000000"/>
          <w:sz w:val="32"/>
          <w:szCs w:val="32"/>
          <w:shd w:val="clear" w:color="auto" w:fill="FFFFFF"/>
          <w:lang w:val="en-US" w:eastAsia="zh-CN"/>
        </w:rPr>
        <w:t>124</w:t>
      </w:r>
      <w:r>
        <w:rPr>
          <w:rFonts w:ascii="仿宋" w:hAnsi="仿宋" w:eastAsia="仿宋" w:cs="仿宋"/>
          <w:color w:val="000000"/>
          <w:sz w:val="32"/>
          <w:szCs w:val="32"/>
          <w:shd w:val="clear" w:color="auto" w:fill="FFFFFF"/>
        </w:rPr>
        <w:t>人，其中行政编制</w:t>
      </w:r>
      <w:r>
        <w:rPr>
          <w:rFonts w:hint="eastAsia" w:ascii="仿宋" w:hAnsi="仿宋" w:eastAsia="仿宋" w:cs="仿宋"/>
          <w:color w:val="000000"/>
          <w:sz w:val="32"/>
          <w:szCs w:val="32"/>
          <w:shd w:val="clear" w:color="auto" w:fill="FFFFFF"/>
          <w:lang w:val="en-US" w:eastAsia="zh-CN"/>
        </w:rPr>
        <w:t>56</w:t>
      </w:r>
      <w:r>
        <w:rPr>
          <w:rFonts w:ascii="仿宋" w:hAnsi="仿宋" w:eastAsia="仿宋" w:cs="仿宋"/>
          <w:color w:val="000000"/>
          <w:sz w:val="32"/>
          <w:szCs w:val="32"/>
          <w:shd w:val="clear" w:color="auto" w:fill="FFFFFF"/>
        </w:rPr>
        <w:t>人，事业编制</w:t>
      </w:r>
      <w:r>
        <w:rPr>
          <w:rFonts w:hint="eastAsia" w:ascii="仿宋" w:hAnsi="仿宋" w:eastAsia="仿宋" w:cs="仿宋"/>
          <w:color w:val="000000"/>
          <w:sz w:val="32"/>
          <w:szCs w:val="32"/>
          <w:shd w:val="clear" w:color="auto" w:fill="FFFFFF"/>
          <w:lang w:val="en-US" w:eastAsia="zh-CN"/>
        </w:rPr>
        <w:t>58</w:t>
      </w:r>
      <w:r>
        <w:rPr>
          <w:rFonts w:ascii="仿宋" w:hAnsi="仿宋" w:eastAsia="仿宋" w:cs="仿宋"/>
          <w:color w:val="000000"/>
          <w:sz w:val="32"/>
          <w:szCs w:val="32"/>
          <w:shd w:val="clear" w:color="auto" w:fill="FFFFFF"/>
        </w:rPr>
        <w:t>人。年末实有在职人员</w:t>
      </w:r>
      <w:r>
        <w:rPr>
          <w:rFonts w:hint="eastAsia" w:ascii="仿宋" w:hAnsi="仿宋" w:eastAsia="仿宋" w:cs="仿宋"/>
          <w:color w:val="000000"/>
          <w:sz w:val="32"/>
          <w:szCs w:val="32"/>
          <w:shd w:val="clear" w:color="auto" w:fill="FFFFFF"/>
          <w:lang w:val="en-US" w:eastAsia="zh-CN"/>
        </w:rPr>
        <w:t>89</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退休人员</w:t>
      </w:r>
      <w:r>
        <w:rPr>
          <w:rFonts w:hint="eastAsia" w:ascii="仿宋" w:hAnsi="仿宋" w:eastAsia="仿宋" w:cs="仿宋"/>
          <w:color w:val="000000"/>
          <w:sz w:val="32"/>
          <w:szCs w:val="32"/>
          <w:shd w:val="clear" w:color="auto" w:fill="FFFFFF"/>
          <w:lang w:val="en-US" w:eastAsia="zh-CN"/>
        </w:rPr>
        <w:t>77</w:t>
      </w:r>
      <w:r>
        <w:rPr>
          <w:rFonts w:ascii="仿宋" w:hAnsi="仿宋" w:eastAsia="仿宋" w:cs="仿宋"/>
          <w:color w:val="000000"/>
          <w:sz w:val="32"/>
          <w:szCs w:val="32"/>
          <w:shd w:val="clear" w:color="auto" w:fill="FFFFFF"/>
        </w:rPr>
        <w:t>人。</w:t>
      </w:r>
      <w:bookmarkStart w:id="0" w:name="_GoBack"/>
      <w:bookmarkEnd w:id="0"/>
    </w:p>
    <w:p>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二、一般公共预算支出情况</w:t>
      </w:r>
    </w:p>
    <w:p>
      <w:pPr>
        <w:pStyle w:val="4"/>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（一）基本支出情况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eastAsia="仿宋_GB2312"/>
          <w:color w:val="0C0C0C"/>
          <w:sz w:val="32"/>
          <w:szCs w:val="32"/>
        </w:rPr>
      </w:pPr>
      <w:r>
        <w:rPr>
          <w:rFonts w:eastAsia="仿宋_GB2312"/>
          <w:color w:val="0C0C0C"/>
          <w:sz w:val="32"/>
          <w:szCs w:val="32"/>
        </w:rPr>
        <w:t>202</w:t>
      </w:r>
      <w:r>
        <w:rPr>
          <w:rFonts w:hint="eastAsia" w:eastAsia="仿宋_GB2312"/>
          <w:color w:val="0C0C0C"/>
          <w:sz w:val="32"/>
          <w:szCs w:val="32"/>
        </w:rPr>
        <w:t>2</w:t>
      </w:r>
      <w:r>
        <w:rPr>
          <w:rFonts w:eastAsia="仿宋_GB2312"/>
          <w:color w:val="0C0C0C"/>
          <w:sz w:val="32"/>
          <w:szCs w:val="32"/>
        </w:rPr>
        <w:t>年基本支出共计</w:t>
      </w:r>
      <w:r>
        <w:rPr>
          <w:rFonts w:hint="eastAsia" w:ascii="仿宋_GB2312" w:hAnsi="仿宋_GB2312" w:eastAsia="仿宋_GB2312" w:cs="仿宋_GB2312"/>
          <w:color w:val="000000"/>
          <w:kern w:val="0"/>
          <w:sz w:val="31"/>
          <w:szCs w:val="31"/>
          <w:lang w:val="en-US" w:eastAsia="zh-CN"/>
        </w:rPr>
        <w:t>1908.3</w:t>
      </w:r>
      <w:r>
        <w:rPr>
          <w:rFonts w:eastAsia="仿宋_GB2312"/>
          <w:color w:val="0C0C0C"/>
          <w:sz w:val="32"/>
          <w:szCs w:val="32"/>
        </w:rPr>
        <w:t>万元</w:t>
      </w:r>
      <w:r>
        <w:rPr>
          <w:rFonts w:hint="eastAsia" w:eastAsia="仿宋_GB2312"/>
          <w:color w:val="0C0C0C"/>
          <w:sz w:val="32"/>
          <w:szCs w:val="32"/>
        </w:rPr>
        <w:t>，其中</w:t>
      </w:r>
      <w:r>
        <w:rPr>
          <w:rFonts w:eastAsia="仿宋_GB2312"/>
          <w:color w:val="0C0C0C"/>
          <w:sz w:val="32"/>
          <w:szCs w:val="32"/>
        </w:rPr>
        <w:t>人员经费</w:t>
      </w:r>
      <w:r>
        <w:rPr>
          <w:rFonts w:hint="eastAsia" w:eastAsia="仿宋_GB2312"/>
          <w:color w:val="0C0C0C"/>
          <w:sz w:val="32"/>
          <w:szCs w:val="32"/>
          <w:lang w:val="en-US" w:eastAsia="zh-CN"/>
        </w:rPr>
        <w:t>1489.28</w:t>
      </w:r>
      <w:r>
        <w:rPr>
          <w:rFonts w:eastAsia="仿宋_GB2312"/>
          <w:color w:val="0C0C0C"/>
          <w:sz w:val="32"/>
          <w:szCs w:val="32"/>
        </w:rPr>
        <w:t>万元</w:t>
      </w:r>
      <w:r>
        <w:rPr>
          <w:rFonts w:hint="eastAsia" w:eastAsia="仿宋_GB2312"/>
          <w:color w:val="0C0C0C"/>
          <w:sz w:val="32"/>
          <w:szCs w:val="32"/>
        </w:rPr>
        <w:t>，</w:t>
      </w:r>
      <w:r>
        <w:rPr>
          <w:rFonts w:hint="eastAsia" w:eastAsia="仿宋_GB2312"/>
          <w:color w:val="0C0C0C"/>
          <w:sz w:val="32"/>
          <w:szCs w:val="32"/>
          <w:lang w:eastAsia="zh-CN"/>
        </w:rPr>
        <w:t>公用</w:t>
      </w:r>
      <w:r>
        <w:rPr>
          <w:rFonts w:eastAsia="仿宋_GB2312"/>
          <w:color w:val="0C0C0C"/>
          <w:sz w:val="32"/>
          <w:szCs w:val="32"/>
        </w:rPr>
        <w:t>经费</w:t>
      </w:r>
      <w:r>
        <w:rPr>
          <w:rFonts w:hint="eastAsia" w:eastAsia="仿宋_GB2312"/>
          <w:color w:val="0C0C0C"/>
          <w:sz w:val="32"/>
          <w:szCs w:val="32"/>
          <w:lang w:val="en-US" w:eastAsia="zh-CN"/>
        </w:rPr>
        <w:t>419.02</w:t>
      </w:r>
      <w:r>
        <w:rPr>
          <w:rFonts w:eastAsia="仿宋_GB2312"/>
          <w:color w:val="0C0C0C"/>
          <w:sz w:val="32"/>
          <w:szCs w:val="32"/>
        </w:rPr>
        <w:t>万元</w:t>
      </w:r>
      <w:r>
        <w:rPr>
          <w:rFonts w:hint="eastAsia" w:eastAsia="仿宋_GB2312"/>
          <w:color w:val="0C0C0C"/>
          <w:sz w:val="32"/>
          <w:szCs w:val="32"/>
        </w:rPr>
        <w:t>。</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hint="eastAsia" w:ascii="仿宋" w:hAnsi="仿宋" w:eastAsia="仿宋" w:cs="仿宋"/>
          <w:b/>
          <w:bCs/>
          <w:color w:val="0C0C0C"/>
          <w:sz w:val="32"/>
          <w:szCs w:val="32"/>
        </w:rPr>
        <w:t>1.人员经费</w:t>
      </w:r>
      <w:r>
        <w:rPr>
          <w:rFonts w:hint="eastAsia" w:ascii="仿宋" w:hAnsi="仿宋" w:eastAsia="仿宋" w:cs="仿宋"/>
          <w:b/>
          <w:bCs/>
          <w:color w:val="0C0C0C"/>
          <w:sz w:val="32"/>
          <w:szCs w:val="32"/>
          <w:lang w:val="en-US" w:eastAsia="zh-CN"/>
        </w:rPr>
        <w:t>1489.28</w:t>
      </w:r>
      <w:r>
        <w:rPr>
          <w:rFonts w:hint="eastAsia" w:ascii="仿宋" w:hAnsi="仿宋" w:eastAsia="仿宋" w:cs="仿宋"/>
          <w:b/>
          <w:bCs/>
          <w:color w:val="0C0C0C"/>
          <w:sz w:val="32"/>
          <w:szCs w:val="32"/>
        </w:rPr>
        <w:t>万元。</w:t>
      </w:r>
      <w:r>
        <w:rPr>
          <w:rFonts w:eastAsia="仿宋_GB2312"/>
          <w:color w:val="0C0C0C"/>
          <w:sz w:val="32"/>
          <w:szCs w:val="32"/>
        </w:rPr>
        <w:t>主要用于在职人员工资津补贴、奖金、离休费、社保缴费、住房公积金缴费、老干医疗费、抚恤金等。人员经费支出严格按照相关政策和标准列支。</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w:t>
      </w:r>
      <w:r>
        <w:rPr>
          <w:rFonts w:ascii="仿宋" w:hAnsi="仿宋" w:eastAsia="仿宋" w:cs="仿宋"/>
          <w:b/>
          <w:bCs/>
          <w:color w:val="0C0C0C"/>
          <w:sz w:val="32"/>
          <w:szCs w:val="32"/>
        </w:rPr>
        <w:t>公用经费</w:t>
      </w:r>
      <w:r>
        <w:rPr>
          <w:rFonts w:hint="eastAsia" w:ascii="仿宋" w:hAnsi="仿宋" w:eastAsia="仿宋" w:cs="仿宋"/>
          <w:b/>
          <w:bCs/>
          <w:color w:val="0C0C0C"/>
          <w:sz w:val="32"/>
          <w:szCs w:val="32"/>
          <w:lang w:val="en-US" w:eastAsia="zh-CN"/>
        </w:rPr>
        <w:t>419.02</w:t>
      </w:r>
      <w:r>
        <w:rPr>
          <w:rFonts w:ascii="仿宋" w:hAnsi="仿宋" w:eastAsia="仿宋" w:cs="仿宋"/>
          <w:b/>
          <w:bCs/>
          <w:color w:val="0C0C0C"/>
          <w:sz w:val="32"/>
          <w:szCs w:val="32"/>
        </w:rPr>
        <w:t>万元。</w:t>
      </w:r>
      <w:r>
        <w:rPr>
          <w:rFonts w:eastAsia="仿宋_GB2312"/>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4"/>
        <w:widowControl/>
        <w:shd w:val="clear" w:color="auto" w:fill="FFFFFF"/>
        <w:spacing w:beforeAutospacing="0" w:afterAutospacing="0" w:line="480" w:lineRule="atLeast"/>
        <w:ind w:left="640"/>
        <w:jc w:val="both"/>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（二）项目支出情况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hint="eastAsia" w:ascii="仿宋" w:hAnsi="仿宋" w:eastAsia="仿宋" w:cs="仿宋"/>
          <w:color w:val="0C0C0C"/>
          <w:sz w:val="32"/>
          <w:szCs w:val="32"/>
        </w:rPr>
        <w:t>2022年项目支出共计</w:t>
      </w:r>
      <w:r>
        <w:rPr>
          <w:rFonts w:hint="eastAsia" w:ascii="仿宋" w:hAnsi="仿宋" w:eastAsia="仿宋" w:cs="仿宋"/>
          <w:color w:val="000000"/>
          <w:kern w:val="0"/>
          <w:sz w:val="32"/>
          <w:szCs w:val="32"/>
          <w:lang w:val="en-US" w:eastAsia="zh-CN"/>
        </w:rPr>
        <w:t>279.54</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rPr>
        <w:t>279.15</w:t>
      </w:r>
      <w:r>
        <w:rPr>
          <w:rFonts w:hint="eastAsia" w:ascii="仿宋" w:hAnsi="仿宋" w:eastAsia="仿宋" w:cs="仿宋"/>
          <w:color w:val="0C0C0C"/>
          <w:sz w:val="32"/>
          <w:szCs w:val="32"/>
        </w:rPr>
        <w:t>万元，运行维护经费</w:t>
      </w:r>
      <w:r>
        <w:rPr>
          <w:rFonts w:hint="eastAsia" w:ascii="仿宋" w:hAnsi="仿宋" w:eastAsia="仿宋" w:cs="仿宋"/>
          <w:color w:val="000000"/>
          <w:kern w:val="0"/>
          <w:sz w:val="32"/>
          <w:szCs w:val="32"/>
          <w:lang w:val="en-US" w:eastAsia="zh-CN"/>
        </w:rPr>
        <w:t>0.39</w:t>
      </w:r>
      <w:r>
        <w:rPr>
          <w:rFonts w:hint="eastAsia" w:ascii="仿宋" w:hAnsi="仿宋" w:eastAsia="仿宋" w:cs="仿宋"/>
          <w:color w:val="0C0C0C"/>
          <w:sz w:val="32"/>
          <w:szCs w:val="32"/>
        </w:rPr>
        <w:t>万元，专项资金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C0C0C"/>
          <w:sz w:val="32"/>
          <w:szCs w:val="32"/>
        </w:rPr>
        <w:t>万元。</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ascii="仿宋" w:hAnsi="仿宋" w:eastAsia="仿宋" w:cs="仿宋"/>
          <w:b/>
          <w:bCs/>
          <w:color w:val="0C0C0C"/>
          <w:sz w:val="32"/>
          <w:szCs w:val="32"/>
        </w:rPr>
        <w:t>1</w:t>
      </w:r>
      <w:r>
        <w:rPr>
          <w:rFonts w:hint="eastAsia" w:ascii="仿宋" w:hAnsi="仿宋" w:eastAsia="仿宋" w:cs="仿宋"/>
          <w:b/>
          <w:bCs/>
          <w:color w:val="0C0C0C"/>
          <w:sz w:val="32"/>
          <w:szCs w:val="32"/>
        </w:rPr>
        <w:t>.</w:t>
      </w:r>
      <w:r>
        <w:rPr>
          <w:rFonts w:ascii="仿宋" w:hAnsi="仿宋" w:eastAsia="仿宋" w:cs="仿宋"/>
          <w:b/>
          <w:bCs/>
          <w:color w:val="0C0C0C"/>
          <w:sz w:val="32"/>
          <w:szCs w:val="32"/>
        </w:rPr>
        <w:t>业务工作经费</w:t>
      </w:r>
      <w:r>
        <w:rPr>
          <w:rFonts w:hint="eastAsia" w:ascii="仿宋" w:hAnsi="仿宋" w:eastAsia="仿宋" w:cs="仿宋"/>
          <w:b/>
          <w:bCs/>
          <w:color w:val="0C0C0C"/>
          <w:sz w:val="32"/>
          <w:szCs w:val="32"/>
          <w:lang w:val="en-US" w:eastAsia="zh-CN"/>
        </w:rPr>
        <w:t>279.15</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一般行政管理事务、工商行政管理专项、执法办案专项、质量技术监督行政执法及业务管理、其他食品和药品监督管理事务</w:t>
      </w:r>
      <w:r>
        <w:rPr>
          <w:rFonts w:hint="default" w:ascii="仿宋" w:hAnsi="仿宋" w:eastAsia="仿宋" w:cs="仿宋"/>
          <w:color w:val="0C0C0C"/>
          <w:sz w:val="32"/>
          <w:szCs w:val="32"/>
          <w:lang w:val="en-US" w:eastAsia="zh-CN"/>
        </w:rPr>
        <w:t>等方面。</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val="0"/>
        <w:spacing w:line="586" w:lineRule="exact"/>
        <w:jc w:val="both"/>
        <w:textAlignment w:val="auto"/>
        <w:outlineLvl w:val="9"/>
        <w:rPr>
          <w:rFonts w:hint="default"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 xml:space="preserve">    </w:t>
      </w:r>
      <w:r>
        <w:rPr>
          <w:rFonts w:ascii="仿宋" w:hAnsi="仿宋" w:eastAsia="仿宋" w:cs="仿宋"/>
          <w:b/>
          <w:bCs/>
          <w:color w:val="0C0C0C"/>
          <w:sz w:val="32"/>
          <w:szCs w:val="32"/>
        </w:rPr>
        <w:t>2</w:t>
      </w:r>
      <w:r>
        <w:rPr>
          <w:rFonts w:hint="eastAsia" w:ascii="仿宋" w:hAnsi="仿宋" w:eastAsia="仿宋" w:cs="仿宋"/>
          <w:b/>
          <w:bCs/>
          <w:color w:val="0C0C0C"/>
          <w:sz w:val="32"/>
          <w:szCs w:val="32"/>
        </w:rPr>
        <w:t>.运行维护</w:t>
      </w:r>
      <w:r>
        <w:rPr>
          <w:rFonts w:ascii="仿宋" w:hAnsi="仿宋" w:eastAsia="仿宋" w:cs="仿宋"/>
          <w:b/>
          <w:bCs/>
          <w:color w:val="0C0C0C"/>
          <w:sz w:val="32"/>
          <w:szCs w:val="32"/>
        </w:rPr>
        <w:t>经费</w:t>
      </w:r>
      <w:r>
        <w:rPr>
          <w:rFonts w:hint="eastAsia" w:ascii="仿宋" w:hAnsi="仿宋" w:eastAsia="仿宋" w:cs="仿宋"/>
          <w:b/>
          <w:bCs/>
          <w:color w:val="0C0C0C"/>
          <w:sz w:val="32"/>
          <w:szCs w:val="32"/>
          <w:lang w:val="en-US" w:eastAsia="zh-CN"/>
        </w:rPr>
        <w:t>0.39</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执法车辆维护</w:t>
      </w:r>
      <w:r>
        <w:rPr>
          <w:rFonts w:hint="default" w:ascii="仿宋" w:hAnsi="仿宋" w:eastAsia="仿宋" w:cs="仿宋"/>
          <w:color w:val="0C0C0C"/>
          <w:sz w:val="32"/>
          <w:szCs w:val="32"/>
          <w:lang w:val="en-US" w:eastAsia="zh-CN"/>
        </w:rPr>
        <w:t>等方面。</w:t>
      </w:r>
    </w:p>
    <w:p>
      <w:p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hint="eastAsia" w:ascii="仿宋" w:hAnsi="仿宋" w:eastAsia="仿宋" w:cs="仿宋"/>
          <w:b/>
          <w:bCs/>
          <w:color w:val="0C0C0C"/>
          <w:sz w:val="32"/>
          <w:szCs w:val="32"/>
        </w:rPr>
        <w:t>3.上级专项资金</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三、政府性基金预算支出情况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2年度政府性基金预算支出</w:t>
      </w:r>
      <w:r>
        <w:rPr>
          <w:rFonts w:hint="eastAsia" w:ascii="仿宋" w:hAnsi="仿宋" w:eastAsia="仿宋" w:cs="仿宋"/>
          <w:color w:val="0C0C0C"/>
          <w:sz w:val="32"/>
          <w:szCs w:val="32"/>
          <w:lang w:val="en-US" w:eastAsia="zh-CN"/>
        </w:rPr>
        <w:t>10万，是征地和拆迁补偿支出，主要用于差旅费、咨询费、委托业务费等</w:t>
      </w:r>
      <w:r>
        <w:rPr>
          <w:rFonts w:hint="eastAsia" w:ascii="仿宋" w:hAnsi="仿宋" w:eastAsia="仿宋" w:cs="仿宋"/>
          <w:color w:val="0C0C0C"/>
          <w:sz w:val="32"/>
          <w:szCs w:val="32"/>
        </w:rPr>
        <w:t>。</w:t>
      </w:r>
    </w:p>
    <w:p>
      <w:pPr>
        <w:pStyle w:val="4"/>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年度</w:t>
      </w:r>
      <w:r>
        <w:rPr>
          <w:rFonts w:ascii="仿宋" w:hAnsi="仿宋" w:eastAsia="仿宋" w:cs="仿宋"/>
          <w:color w:val="FF0000"/>
          <w:sz w:val="32"/>
          <w:szCs w:val="32"/>
        </w:rPr>
        <w:t>无</w:t>
      </w:r>
      <w:r>
        <w:rPr>
          <w:rFonts w:ascii="仿宋" w:hAnsi="仿宋" w:eastAsia="仿宋" w:cs="仿宋"/>
          <w:color w:val="0C0C0C"/>
          <w:sz w:val="32"/>
          <w:szCs w:val="32"/>
        </w:rPr>
        <w:t>国有资本经营预算支出。</w:t>
      </w:r>
    </w:p>
    <w:p>
      <w:pPr>
        <w:pStyle w:val="4"/>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pPr>
        <w:widowControl/>
        <w:ind w:firstLine="640" w:firstLineChars="200"/>
        <w:jc w:val="left"/>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年度</w:t>
      </w:r>
      <w:r>
        <w:rPr>
          <w:rFonts w:ascii="仿宋" w:hAnsi="仿宋" w:eastAsia="仿宋" w:cs="仿宋"/>
          <w:color w:val="FF0000"/>
          <w:sz w:val="32"/>
          <w:szCs w:val="32"/>
        </w:rPr>
        <w:t>无</w:t>
      </w:r>
      <w:r>
        <w:rPr>
          <w:rFonts w:ascii="仿宋" w:hAnsi="仿宋" w:eastAsia="仿宋" w:cs="仿宋"/>
          <w:color w:val="0C0C0C"/>
          <w:sz w:val="32"/>
          <w:szCs w:val="32"/>
        </w:rPr>
        <w:t>社会保险基金预算支出。</w:t>
      </w:r>
    </w:p>
    <w:p>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六、部门整体支出绩效情况</w:t>
      </w:r>
    </w:p>
    <w:p>
      <w:pPr>
        <w:pStyle w:val="4"/>
        <w:widowControl/>
        <w:shd w:val="clear" w:color="auto" w:fill="FFFFFF"/>
        <w:spacing w:beforeAutospacing="0" w:afterAutospacing="0" w:line="480" w:lineRule="atLeast"/>
        <w:ind w:firstLine="645"/>
        <w:jc w:val="both"/>
        <w:rPr>
          <w:rFonts w:ascii="仿宋" w:hAnsi="仿宋" w:eastAsia="仿宋" w:cs="仿宋"/>
          <w:color w:val="0C0C0C"/>
          <w:kern w:val="2"/>
          <w:sz w:val="32"/>
          <w:szCs w:val="32"/>
        </w:rPr>
      </w:pPr>
      <w:r>
        <w:rPr>
          <w:rFonts w:hint="eastAsia" w:ascii="仿宋" w:hAnsi="仿宋" w:eastAsia="仿宋" w:cs="仿宋"/>
          <w:color w:val="0C0C0C"/>
          <w:kern w:val="2"/>
          <w:sz w:val="32"/>
          <w:szCs w:val="32"/>
        </w:rPr>
        <w:t>2022年，在县委、县政府的领导下，坚持依法行政、执法为民，稳中求进，改革创新，积极作为，突出抓改革强监管促发展，各方面工作稳步推进。根据部门整体支出绩效自评评分（详见附件2），得分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94</w:t>
      </w:r>
      <w:r>
        <w:rPr>
          <w:rFonts w:hint="eastAsia" w:ascii="仿宋" w:hAnsi="仿宋" w:eastAsia="仿宋" w:cs="仿宋"/>
          <w:color w:val="0C0C0C"/>
          <w:kern w:val="2"/>
          <w:sz w:val="32"/>
          <w:szCs w:val="32"/>
        </w:rPr>
        <w:t>分，部门整体支出绩效为“</w:t>
      </w:r>
      <w:r>
        <w:rPr>
          <w:rFonts w:hint="eastAsia" w:ascii="仿宋" w:hAnsi="仿宋" w:eastAsia="仿宋" w:cs="仿宋"/>
          <w:color w:val="0C0C0C"/>
          <w:kern w:val="2"/>
          <w:sz w:val="32"/>
          <w:szCs w:val="32"/>
          <w:lang w:eastAsia="zh-CN"/>
        </w:rPr>
        <w:t>优</w:t>
      </w:r>
      <w:r>
        <w:rPr>
          <w:rFonts w:hint="eastAsia" w:ascii="仿宋" w:hAnsi="仿宋" w:eastAsia="仿宋" w:cs="仿宋"/>
          <w:color w:val="0C0C0C"/>
          <w:kern w:val="2"/>
          <w:sz w:val="32"/>
          <w:szCs w:val="32"/>
        </w:rPr>
        <w:t>”。主要绩效如下：</w:t>
      </w:r>
    </w:p>
    <w:p>
      <w:pPr>
        <w:pStyle w:val="4"/>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成绩一</w:t>
      </w:r>
      <w:r>
        <w:rPr>
          <w:rFonts w:hint="eastAsia" w:ascii="仿宋" w:hAnsi="仿宋" w:eastAsia="仿宋" w:cs="仿宋"/>
          <w:i w:val="0"/>
          <w:iCs w:val="0"/>
          <w:caps w:val="0"/>
          <w:color w:val="000000"/>
          <w:spacing w:val="0"/>
          <w:sz w:val="32"/>
          <w:szCs w:val="32"/>
          <w:shd w:val="clear" w:color="080000" w:fill="FFFFFF"/>
        </w:rPr>
        <w:t>。</w:t>
      </w:r>
      <w:r>
        <w:rPr>
          <w:rFonts w:hint="eastAsia" w:ascii="仿宋" w:hAnsi="仿宋" w:eastAsia="仿宋" w:cs="仿宋"/>
          <w:b w:val="0"/>
          <w:bCs w:val="0"/>
          <w:sz w:val="32"/>
          <w:szCs w:val="32"/>
          <w:lang w:val="en-US" w:eastAsia="zh-CN"/>
        </w:rPr>
        <w:t>2022年</w:t>
      </w:r>
      <w:r>
        <w:rPr>
          <w:rFonts w:hint="eastAsia" w:ascii="仿宋" w:hAnsi="仿宋" w:eastAsia="仿宋" w:cs="仿宋"/>
          <w:b w:val="0"/>
          <w:bCs w:val="0"/>
          <w:sz w:val="32"/>
          <w:szCs w:val="32"/>
          <w:lang w:eastAsia="zh-CN"/>
        </w:rPr>
        <w:t>新登记注册各类市场主体</w:t>
      </w:r>
      <w:r>
        <w:rPr>
          <w:rFonts w:hint="eastAsia" w:ascii="仿宋" w:hAnsi="仿宋" w:eastAsia="仿宋" w:cs="仿宋"/>
          <w:b w:val="0"/>
          <w:bCs w:val="0"/>
          <w:sz w:val="32"/>
          <w:szCs w:val="32"/>
          <w:lang w:val="en-US" w:eastAsia="zh-CN"/>
        </w:rPr>
        <w:t>4773</w:t>
      </w:r>
      <w:r>
        <w:rPr>
          <w:rFonts w:hint="eastAsia" w:ascii="仿宋" w:hAnsi="仿宋" w:eastAsia="仿宋" w:cs="仿宋"/>
          <w:b w:val="0"/>
          <w:bCs w:val="0"/>
          <w:sz w:val="32"/>
          <w:szCs w:val="32"/>
          <w:lang w:eastAsia="zh-CN"/>
        </w:rPr>
        <w:t>户，其中内资企业</w:t>
      </w:r>
      <w:r>
        <w:rPr>
          <w:rFonts w:hint="eastAsia" w:ascii="仿宋" w:hAnsi="仿宋" w:eastAsia="仿宋" w:cs="仿宋"/>
          <w:b w:val="0"/>
          <w:bCs w:val="0"/>
          <w:sz w:val="32"/>
          <w:szCs w:val="32"/>
          <w:lang w:val="en-US" w:eastAsia="zh-CN"/>
        </w:rPr>
        <w:t>2339</w:t>
      </w:r>
      <w:r>
        <w:rPr>
          <w:rFonts w:hint="eastAsia" w:ascii="仿宋" w:hAnsi="仿宋" w:eastAsia="仿宋" w:cs="仿宋"/>
          <w:b w:val="0"/>
          <w:bCs w:val="0"/>
          <w:sz w:val="32"/>
          <w:szCs w:val="32"/>
          <w:lang w:eastAsia="zh-CN"/>
        </w:rPr>
        <w:t>户，农民专业合作社</w:t>
      </w:r>
      <w:r>
        <w:rPr>
          <w:rFonts w:hint="eastAsia" w:ascii="仿宋" w:hAnsi="仿宋" w:eastAsia="仿宋" w:cs="仿宋"/>
          <w:b w:val="0"/>
          <w:bCs w:val="0"/>
          <w:sz w:val="32"/>
          <w:szCs w:val="32"/>
          <w:lang w:val="en-US" w:eastAsia="zh-CN"/>
        </w:rPr>
        <w:t>94</w:t>
      </w:r>
      <w:r>
        <w:rPr>
          <w:rFonts w:hint="eastAsia" w:ascii="仿宋" w:hAnsi="仿宋" w:eastAsia="仿宋" w:cs="仿宋"/>
          <w:b w:val="0"/>
          <w:bCs w:val="0"/>
          <w:sz w:val="32"/>
          <w:szCs w:val="32"/>
          <w:lang w:eastAsia="zh-CN"/>
        </w:rPr>
        <w:t>户，个体工商户</w:t>
      </w:r>
      <w:r>
        <w:rPr>
          <w:rFonts w:hint="eastAsia" w:ascii="仿宋" w:hAnsi="仿宋" w:eastAsia="仿宋" w:cs="仿宋"/>
          <w:b w:val="0"/>
          <w:bCs w:val="0"/>
          <w:sz w:val="32"/>
          <w:szCs w:val="32"/>
          <w:lang w:val="en-US" w:eastAsia="zh-CN"/>
        </w:rPr>
        <w:t>2340</w:t>
      </w:r>
      <w:r>
        <w:rPr>
          <w:rFonts w:hint="eastAsia" w:ascii="仿宋" w:hAnsi="仿宋" w:eastAsia="仿宋" w:cs="仿宋"/>
          <w:b w:val="0"/>
          <w:bCs w:val="0"/>
          <w:sz w:val="32"/>
          <w:szCs w:val="32"/>
          <w:lang w:eastAsia="zh-CN"/>
        </w:rPr>
        <w:t>户</w:t>
      </w:r>
      <w:r>
        <w:rPr>
          <w:rFonts w:hint="eastAsia" w:ascii="仿宋" w:hAnsi="仿宋" w:eastAsia="仿宋" w:cs="仿宋"/>
          <w:color w:val="0C0C0C"/>
          <w:sz w:val="32"/>
          <w:szCs w:val="32"/>
          <w:lang w:val="en-US" w:eastAsia="zh-CN"/>
        </w:rPr>
        <w:t>。</w:t>
      </w:r>
    </w:p>
    <w:p>
      <w:pPr>
        <w:pStyle w:val="4"/>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成绩二。</w:t>
      </w:r>
      <w:r>
        <w:rPr>
          <w:rFonts w:hint="eastAsia" w:ascii="仿宋" w:hAnsi="仿宋" w:eastAsia="仿宋" w:cs="仿宋"/>
          <w:b w:val="0"/>
          <w:bCs w:val="0"/>
          <w:sz w:val="32"/>
          <w:szCs w:val="32"/>
          <w:lang w:val="en-US" w:eastAsia="zh-CN"/>
        </w:rPr>
        <w:t>排查自建房安全隐患。累计排查经营性居民自建房共2151栋（3945户），其中1种经营业态1677栋，2种及以上经营业态474栋</w:t>
      </w:r>
      <w:r>
        <w:rPr>
          <w:rFonts w:hint="eastAsia" w:ascii="仿宋" w:hAnsi="仿宋" w:eastAsia="仿宋" w:cs="仿宋"/>
          <w:color w:val="0C0C0C"/>
          <w:sz w:val="32"/>
          <w:szCs w:val="32"/>
          <w:lang w:val="en-US" w:eastAsia="zh-CN"/>
        </w:rPr>
        <w:t>。</w:t>
      </w:r>
    </w:p>
    <w:p>
      <w:pPr>
        <w:pStyle w:val="4"/>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成绩三。</w:t>
      </w:r>
      <w:r>
        <w:rPr>
          <w:rFonts w:hint="eastAsia" w:ascii="仿宋" w:hAnsi="仿宋" w:eastAsia="仿宋" w:cs="仿宋"/>
          <w:b w:val="0"/>
          <w:bCs w:val="0"/>
          <w:sz w:val="32"/>
          <w:szCs w:val="32"/>
          <w:lang w:val="en-US" w:eastAsia="zh-CN"/>
        </w:rPr>
        <w:t>开展了食品安全整治行动，收缴过期变质食品320余公斤，立案28起；制作了规范的食品安全监管信息公示牌2000余块，共检查学校食堂130余家次、周边食品经营店320余家次，下达整改通知书27份、督办函1份、立案8件</w:t>
      </w:r>
      <w:r>
        <w:rPr>
          <w:rFonts w:hint="eastAsia" w:ascii="仿宋" w:hAnsi="仿宋" w:eastAsia="仿宋" w:cs="仿宋"/>
          <w:color w:val="0C0C0C"/>
          <w:sz w:val="32"/>
          <w:szCs w:val="32"/>
          <w:lang w:val="en-US" w:eastAsia="zh-CN"/>
        </w:rPr>
        <w:t>。</w:t>
      </w:r>
    </w:p>
    <w:p>
      <w:pPr>
        <w:pStyle w:val="4"/>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成绩四。</w:t>
      </w:r>
      <w:r>
        <w:rPr>
          <w:rFonts w:hint="eastAsia" w:ascii="仿宋" w:hAnsi="仿宋" w:eastAsia="仿宋" w:cs="仿宋"/>
          <w:b w:val="0"/>
          <w:bCs w:val="0"/>
          <w:sz w:val="32"/>
          <w:szCs w:val="32"/>
          <w:lang w:val="en-US" w:eastAsia="zh-CN"/>
        </w:rPr>
        <w:t>加强药械市场监管，检查药品医疗器械、化妆品经营和使用单位88家次、疫苗接种单位28家次，下达责令整改40余份，立案7起</w:t>
      </w:r>
      <w:r>
        <w:rPr>
          <w:rFonts w:hint="eastAsia" w:ascii="仿宋" w:hAnsi="仿宋" w:eastAsia="仿宋" w:cs="仿宋"/>
          <w:color w:val="0C0C0C"/>
          <w:sz w:val="32"/>
          <w:szCs w:val="32"/>
          <w:lang w:val="en-US" w:eastAsia="zh-CN"/>
        </w:rPr>
        <w:t>。</w:t>
      </w:r>
    </w:p>
    <w:p>
      <w:pPr>
        <w:pStyle w:val="4"/>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成绩五。</w:t>
      </w:r>
      <w:r>
        <w:rPr>
          <w:rFonts w:hint="eastAsia" w:ascii="仿宋" w:hAnsi="仿宋" w:eastAsia="仿宋" w:cs="仿宋"/>
          <w:b w:val="0"/>
          <w:bCs w:val="0"/>
          <w:sz w:val="32"/>
          <w:szCs w:val="32"/>
          <w:lang w:val="en-US" w:eastAsia="zh-CN"/>
        </w:rPr>
        <w:t>开展交通顽瘴痼疾整治工作。检查企业个体工商户156户，制作日常检查表格1200余份，立案49起</w:t>
      </w:r>
      <w:r>
        <w:rPr>
          <w:rFonts w:hint="eastAsia" w:ascii="仿宋" w:hAnsi="仿宋" w:eastAsia="仿宋" w:cs="仿宋"/>
          <w:color w:val="0C0C0C"/>
          <w:sz w:val="32"/>
          <w:szCs w:val="32"/>
          <w:lang w:val="en-US" w:eastAsia="zh-CN"/>
        </w:rPr>
        <w:t>。</w:t>
      </w:r>
    </w:p>
    <w:p>
      <w:pPr>
        <w:pStyle w:val="4"/>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color="080000"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成绩六。</w:t>
      </w:r>
      <w:r>
        <w:rPr>
          <w:rFonts w:hint="eastAsia" w:ascii="仿宋" w:hAnsi="仿宋" w:eastAsia="仿宋" w:cs="仿宋"/>
          <w:b w:val="0"/>
          <w:bCs w:val="0"/>
          <w:sz w:val="32"/>
          <w:szCs w:val="32"/>
          <w:lang w:val="en-US" w:eastAsia="zh-CN"/>
        </w:rPr>
        <w:t>加强消费者权益保护。共受理消费者投诉举报427件，其中投诉314件，举报113件，为消费者挽回经济损失130余万元</w:t>
      </w:r>
      <w:r>
        <w:rPr>
          <w:rFonts w:hint="eastAsia" w:ascii="仿宋" w:hAnsi="仿宋" w:eastAsia="仿宋" w:cs="仿宋"/>
          <w:color w:val="0C0C0C"/>
          <w:sz w:val="32"/>
          <w:szCs w:val="32"/>
          <w:lang w:val="en-US" w:eastAsia="zh-CN"/>
        </w:rPr>
        <w:t>。</w:t>
      </w:r>
    </w:p>
    <w:p>
      <w:pPr>
        <w:pStyle w:val="4"/>
        <w:widowControl/>
        <w:numPr>
          <w:ilvl w:val="0"/>
          <w:numId w:val="2"/>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0" w:right="0" w:firstLine="645"/>
        <w:rPr>
          <w:rFonts w:ascii="仿宋" w:hAnsi="仿宋" w:eastAsia="仿宋" w:cs="仿宋"/>
          <w:color w:val="000000"/>
          <w:sz w:val="32"/>
          <w:szCs w:val="32"/>
          <w:shd w:val="clear" w:color="auto" w:fill="FFFFFF"/>
        </w:rPr>
      </w:pPr>
      <w:r>
        <w:rPr>
          <w:rFonts w:hint="eastAsia" w:ascii="楷体" w:hAnsi="楷体" w:eastAsia="楷体" w:cs="楷体"/>
          <w:b/>
          <w:bCs/>
          <w:i w:val="0"/>
          <w:iCs w:val="0"/>
          <w:caps w:val="0"/>
          <w:color w:val="000000"/>
          <w:spacing w:val="0"/>
          <w:sz w:val="32"/>
          <w:szCs w:val="32"/>
          <w:shd w:val="clear" w:color="0A0000" w:fill="FFFFFF"/>
          <w:lang w:val="en-US" w:eastAsia="zh-CN"/>
        </w:rPr>
        <w:t>成绩七。</w:t>
      </w:r>
      <w:r>
        <w:rPr>
          <w:rFonts w:hint="eastAsia" w:ascii="仿宋" w:hAnsi="仿宋" w:eastAsia="仿宋" w:cs="仿宋"/>
          <w:b w:val="0"/>
          <w:bCs w:val="0"/>
          <w:sz w:val="32"/>
          <w:szCs w:val="32"/>
          <w:lang w:val="en-US" w:eastAsia="zh-CN"/>
        </w:rPr>
        <w:t>开展集贸市场及乡村门店计量器具专项执法检查，检查集贸市场计量器具800余台，查缴了6台不合格器具</w:t>
      </w:r>
      <w:r>
        <w:rPr>
          <w:rFonts w:hint="eastAsia" w:ascii="仿宋" w:hAnsi="仿宋" w:eastAsia="仿宋" w:cs="仿宋"/>
          <w:color w:val="0C0C0C"/>
          <w:sz w:val="32"/>
          <w:szCs w:val="32"/>
          <w:lang w:val="en-US" w:eastAsia="zh-CN"/>
        </w:rPr>
        <w:t>。</w:t>
      </w:r>
    </w:p>
    <w:p>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七、存在的问题及原因分析</w:t>
      </w:r>
    </w:p>
    <w:p>
      <w:pPr>
        <w:autoSpaceDN w:val="0"/>
        <w:ind w:firstLine="600"/>
        <w:rPr>
          <w:rFonts w:hint="eastAsia" w:ascii="仿宋" w:hAnsi="仿宋" w:eastAsia="仿宋" w:cs="仿宋"/>
          <w:sz w:val="32"/>
          <w:szCs w:val="32"/>
          <w:lang w:eastAsia="zh-CN"/>
        </w:rPr>
      </w:pPr>
      <w:r>
        <w:rPr>
          <w:rFonts w:hint="eastAsia" w:ascii="楷体" w:hAnsi="楷体" w:eastAsia="楷体" w:cs="楷体"/>
          <w:b/>
          <w:bCs/>
          <w:i w:val="0"/>
          <w:iCs w:val="0"/>
          <w:caps w:val="0"/>
          <w:color w:val="000000"/>
          <w:spacing w:val="0"/>
          <w:sz w:val="32"/>
          <w:szCs w:val="32"/>
          <w:shd w:val="clear" w:color="0A0000" w:fill="FFFFFF"/>
          <w:lang w:val="en-US" w:eastAsia="zh-CN"/>
        </w:rPr>
        <w:t>（一）问题一。</w:t>
      </w:r>
      <w:r>
        <w:rPr>
          <w:rFonts w:hint="eastAsia" w:ascii="仿宋" w:hAnsi="仿宋" w:eastAsia="仿宋" w:cs="仿宋"/>
          <w:kern w:val="0"/>
          <w:sz w:val="32"/>
          <w:szCs w:val="32"/>
        </w:rPr>
        <w:t>预算执行存在偏差，预算同年终决算结果差异较大</w:t>
      </w:r>
      <w:r>
        <w:rPr>
          <w:rFonts w:hint="eastAsia" w:ascii="仿宋" w:hAnsi="仿宋" w:eastAsia="仿宋" w:cs="仿宋"/>
          <w:kern w:val="0"/>
          <w:sz w:val="32"/>
          <w:szCs w:val="32"/>
          <w:lang w:eastAsia="zh-CN"/>
        </w:rPr>
        <w:t>，</w:t>
      </w:r>
      <w:r>
        <w:rPr>
          <w:rFonts w:hint="eastAsia" w:ascii="仿宋" w:hAnsi="仿宋" w:eastAsia="仿宋" w:cs="仿宋"/>
          <w:sz w:val="32"/>
          <w:szCs w:val="32"/>
        </w:rPr>
        <w:t>预算执行中经费有交叉使用的情况，难以做到专款专用。原因是开展某项工作时经费还未拨入，但工作又不能不开展或延后再开展</w:t>
      </w:r>
      <w:r>
        <w:rPr>
          <w:rFonts w:hint="eastAsia" w:ascii="仿宋" w:hAnsi="仿宋" w:eastAsia="仿宋" w:cs="仿宋"/>
          <w:sz w:val="32"/>
          <w:szCs w:val="32"/>
          <w:lang w:eastAsia="zh-CN"/>
        </w:rPr>
        <w:t>。</w:t>
      </w:r>
    </w:p>
    <w:p>
      <w:pPr>
        <w:pStyle w:val="4"/>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left="645" w:leftChars="0" w:right="0"/>
        <w:rPr>
          <w:rFonts w:hint="eastAsia" w:ascii="仿宋" w:hAnsi="仿宋" w:eastAsia="仿宋" w:cs="仿宋"/>
          <w:color w:val="010101"/>
          <w:sz w:val="32"/>
          <w:szCs w:val="32"/>
        </w:rPr>
      </w:pPr>
      <w:r>
        <w:rPr>
          <w:rFonts w:hint="eastAsia" w:ascii="楷体" w:hAnsi="楷体" w:eastAsia="楷体" w:cs="楷体"/>
          <w:b/>
          <w:bCs/>
          <w:i w:val="0"/>
          <w:iCs w:val="0"/>
          <w:caps w:val="0"/>
          <w:color w:val="000000"/>
          <w:spacing w:val="0"/>
          <w:sz w:val="32"/>
          <w:szCs w:val="32"/>
          <w:shd w:val="clear" w:color="0A0000" w:fill="FFFFFF"/>
          <w:lang w:val="en-US" w:eastAsia="zh-CN"/>
        </w:rPr>
        <w:t>（二）问题二。</w:t>
      </w:r>
      <w:r>
        <w:rPr>
          <w:rFonts w:ascii="仿宋" w:hAnsi="仿宋" w:eastAsia="仿宋"/>
          <w:color w:val="010101"/>
          <w:sz w:val="32"/>
          <w:szCs w:val="32"/>
        </w:rPr>
        <w:t>内部管理</w:t>
      </w:r>
      <w:r>
        <w:rPr>
          <w:rFonts w:hint="eastAsia" w:ascii="仿宋" w:hAnsi="仿宋" w:eastAsia="仿宋"/>
          <w:color w:val="010101"/>
          <w:sz w:val="32"/>
          <w:szCs w:val="32"/>
          <w:lang w:eastAsia="zh-CN"/>
        </w:rPr>
        <w:t>：</w:t>
      </w:r>
      <w:r>
        <w:rPr>
          <w:rFonts w:hint="eastAsia" w:ascii="仿宋" w:hAnsi="仿宋" w:eastAsia="仿宋" w:cs="仿宋"/>
          <w:color w:val="010101"/>
          <w:sz w:val="32"/>
          <w:szCs w:val="32"/>
        </w:rPr>
        <w:t>由于我局人员少，混岗现象</w:t>
      </w:r>
    </w:p>
    <w:p>
      <w:pPr>
        <w:pStyle w:val="4"/>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480" w:lineRule="atLeast"/>
        <w:ind w:right="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color w:val="010101"/>
          <w:sz w:val="32"/>
          <w:szCs w:val="32"/>
        </w:rPr>
        <w:t>严重</w:t>
      </w:r>
      <w:r>
        <w:rPr>
          <w:rFonts w:hint="eastAsia" w:ascii="仿宋" w:hAnsi="仿宋" w:eastAsia="仿宋" w:cs="仿宋"/>
          <w:color w:val="0C0C0C"/>
          <w:sz w:val="32"/>
          <w:szCs w:val="32"/>
          <w:lang w:val="en-US" w:eastAsia="zh-CN"/>
        </w:rPr>
        <w:t>。</w:t>
      </w:r>
    </w:p>
    <w:p>
      <w:pPr>
        <w:widowControl w:val="0"/>
        <w:numPr>
          <w:numId w:val="0"/>
        </w:numPr>
        <w:pBdr>
          <w:top w:val="none" w:color="000000" w:sz="0" w:space="0"/>
          <w:left w:val="none" w:color="000000" w:sz="0" w:space="0"/>
          <w:bottom w:val="none" w:color="000000" w:sz="0" w:space="21"/>
          <w:right w:val="none" w:color="000000" w:sz="0" w:space="1"/>
        </w:pBdr>
        <w:wordWrap/>
        <w:autoSpaceDN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i w:val="0"/>
          <w:iCs w:val="0"/>
          <w:caps w:val="0"/>
          <w:color w:val="000000"/>
          <w:spacing w:val="0"/>
          <w:sz w:val="32"/>
          <w:szCs w:val="32"/>
          <w:shd w:val="clear" w:color="0A0000" w:fill="FFFFFF"/>
          <w:lang w:val="en-US" w:eastAsia="zh-CN"/>
        </w:rPr>
        <w:t xml:space="preserve">   （三）问题三。</w:t>
      </w:r>
      <w:r>
        <w:rPr>
          <w:rFonts w:hint="eastAsia" w:ascii="仿宋_GB2312" w:hAnsi="仿宋_GB2312" w:eastAsia="仿宋_GB2312" w:cs="仿宋_GB2312"/>
          <w:sz w:val="32"/>
          <w:szCs w:val="32"/>
          <w:lang w:val="en-US" w:eastAsia="zh-CN"/>
        </w:rPr>
        <w:t>经费严重不足，很多工作财政都没有安排资金，一是临时人员工资；二是离退休老干部活动经费及节日物品发放；三是扶贫经费等等，以上三项我局约需开支100多万元。建议县财政对各项工作的经费予以保障。</w:t>
      </w:r>
    </w:p>
    <w:p>
      <w:pPr>
        <w:widowControl w:val="0"/>
        <w:numPr>
          <w:numId w:val="0"/>
        </w:numPr>
        <w:pBdr>
          <w:top w:val="none" w:color="000000" w:sz="0" w:space="0"/>
          <w:left w:val="none" w:color="000000" w:sz="0" w:space="0"/>
          <w:bottom w:val="none" w:color="000000" w:sz="0" w:space="21"/>
          <w:right w:val="none" w:color="000000" w:sz="0" w:space="1"/>
        </w:pBdr>
        <w:wordWrap/>
        <w:autoSpaceDN w:val="0"/>
        <w:adjustRightInd/>
        <w:snapToGrid/>
        <w:spacing w:line="560" w:lineRule="exact"/>
        <w:textAlignment w:val="auto"/>
        <w:rPr>
          <w:rFonts w:hint="eastAsia" w:ascii="楷体" w:hAnsi="楷体" w:eastAsia="楷体" w:cs="楷体"/>
          <w:b/>
          <w:bCs/>
          <w:i w:val="0"/>
          <w:iCs w:val="0"/>
          <w:caps w:val="0"/>
          <w:color w:val="000000"/>
          <w:spacing w:val="0"/>
          <w:sz w:val="32"/>
          <w:szCs w:val="32"/>
          <w:shd w:val="clear" w:color="0A0000" w:fill="FFFFFF"/>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i w:val="0"/>
          <w:iCs w:val="0"/>
          <w:caps w:val="0"/>
          <w:color w:val="000000"/>
          <w:spacing w:val="0"/>
          <w:sz w:val="32"/>
          <w:szCs w:val="32"/>
          <w:shd w:val="clear" w:color="0A0000" w:fill="FFFFFF"/>
          <w:lang w:val="en-US" w:eastAsia="zh-CN"/>
        </w:rPr>
        <w:t>（四）问题四。</w:t>
      </w:r>
      <w:r>
        <w:rPr>
          <w:rFonts w:hint="eastAsia" w:ascii="仿宋" w:hAnsi="仿宋" w:eastAsia="仿宋" w:cs="仿宋"/>
          <w:color w:val="000000"/>
          <w:kern w:val="0"/>
          <w:sz w:val="32"/>
          <w:szCs w:val="32"/>
        </w:rPr>
        <w:t>绩效评价资料收集不全面。主要是社会效益方面的资料不够全面，尽管诸多执法工作引起了不同范围内的社会关注和好评，但由于不注重收集或收集不及时，致使在评价过程中缺乏有说服力的证据。</w:t>
      </w:r>
    </w:p>
    <w:p>
      <w:pPr>
        <w:pStyle w:val="4"/>
        <w:widowControl/>
        <w:numPr>
          <w:ilvl w:val="0"/>
          <w:numId w:val="3"/>
        </w:numPr>
        <w:shd w:val="clear" w:color="auto" w:fill="FFFFFF"/>
        <w:spacing w:beforeAutospacing="0" w:afterAutospacing="0" w:line="480" w:lineRule="atLeast"/>
        <w:ind w:left="640"/>
        <w:rPr>
          <w:rFonts w:hint="eastAsia" w:ascii="仿宋" w:hAnsi="仿宋" w:eastAsia="仿宋" w:cs="仿宋"/>
          <w:color w:val="000000"/>
          <w:kern w:val="0"/>
          <w:sz w:val="32"/>
          <w:szCs w:val="32"/>
        </w:rPr>
      </w:pPr>
      <w:r>
        <w:rPr>
          <w:rFonts w:hint="eastAsia" w:ascii="楷体" w:hAnsi="楷体" w:eastAsia="楷体" w:cs="楷体"/>
          <w:b/>
          <w:bCs/>
          <w:i w:val="0"/>
          <w:iCs w:val="0"/>
          <w:caps w:val="0"/>
          <w:color w:val="000000"/>
          <w:spacing w:val="0"/>
          <w:sz w:val="32"/>
          <w:szCs w:val="32"/>
          <w:shd w:val="clear" w:color="0A0000" w:fill="FFFFFF"/>
          <w:lang w:val="en-US" w:eastAsia="zh-CN"/>
        </w:rPr>
        <w:t>问题五。</w:t>
      </w:r>
      <w:r>
        <w:rPr>
          <w:rFonts w:hint="eastAsia" w:ascii="仿宋" w:hAnsi="仿宋" w:eastAsia="仿宋" w:cs="仿宋"/>
          <w:color w:val="000000"/>
          <w:kern w:val="0"/>
          <w:sz w:val="32"/>
          <w:szCs w:val="32"/>
        </w:rPr>
        <w:t>干部职工预算绩效意识还不强。</w:t>
      </w:r>
    </w:p>
    <w:p>
      <w:pPr>
        <w:pStyle w:val="4"/>
        <w:widowControl/>
        <w:numPr>
          <w:numId w:val="0"/>
        </w:numPr>
        <w:shd w:val="clear" w:color="auto" w:fill="FFFFFF"/>
        <w:spacing w:beforeAutospacing="0" w:afterAutospacing="0" w:line="480" w:lineRule="atLeas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 xml:space="preserve">    </w:t>
      </w:r>
      <w:r>
        <w:rPr>
          <w:rFonts w:hint="eastAsia" w:ascii="黑体" w:hAnsi="黑体" w:eastAsia="黑体" w:cs="黑体"/>
          <w:color w:val="000000"/>
          <w:sz w:val="32"/>
          <w:szCs w:val="32"/>
          <w:shd w:val="clear" w:color="auto" w:fill="FFFFFF"/>
        </w:rPr>
        <w:t>八、下一步改进措施</w:t>
      </w:r>
    </w:p>
    <w:p>
      <w:pPr>
        <w:rPr>
          <w:rFonts w:hint="eastAsia" w:ascii="仿宋" w:hAnsi="仿宋" w:eastAsia="仿宋" w:cs="仿宋"/>
          <w:sz w:val="32"/>
          <w:szCs w:val="32"/>
        </w:rPr>
      </w:pPr>
      <w:r>
        <w:rPr>
          <w:rFonts w:hint="eastAsia" w:ascii="仿宋" w:hAnsi="仿宋" w:eastAsia="仿宋" w:cs="仿宋"/>
          <w:color w:val="010101"/>
          <w:sz w:val="32"/>
          <w:szCs w:val="32"/>
          <w:lang w:val="en-US" w:eastAsia="zh-CN"/>
        </w:rPr>
        <w:t xml:space="preserve"> </w:t>
      </w:r>
      <w:r>
        <w:rPr>
          <w:rFonts w:hint="eastAsia" w:ascii="仿宋" w:hAnsi="仿宋" w:eastAsia="仿宋" w:cs="仿宋"/>
          <w:color w:val="010101"/>
          <w:sz w:val="32"/>
          <w:szCs w:val="32"/>
        </w:rPr>
        <w:t>（一）</w:t>
      </w:r>
      <w:r>
        <w:rPr>
          <w:rFonts w:hint="eastAsia" w:ascii="仿宋" w:hAnsi="仿宋" w:eastAsia="仿宋" w:cs="仿宋"/>
          <w:sz w:val="32"/>
          <w:szCs w:val="32"/>
        </w:rPr>
        <w:t>规范账务处理，提高财务信息质量。严格按照《会计法》、《行政单位会计制度》、《行政单位财务规则》等规定执行财务核算，并结合实际情况，完整、准确地披露相关信息，尽可能地做到决算与预算相衔接。</w:t>
      </w:r>
    </w:p>
    <w:p>
      <w:pPr>
        <w:ind w:firstLine="640" w:firstLineChars="200"/>
        <w:rPr>
          <w:rFonts w:hint="eastAsia" w:ascii="仿宋" w:hAnsi="仿宋" w:eastAsia="仿宋" w:cs="仿宋"/>
          <w:sz w:val="32"/>
          <w:szCs w:val="32"/>
        </w:rPr>
      </w:pPr>
      <w:r>
        <w:rPr>
          <w:rFonts w:hint="eastAsia" w:ascii="仿宋" w:hAnsi="仿宋" w:eastAsia="仿宋" w:cs="仿宋"/>
          <w:color w:val="010101"/>
          <w:sz w:val="32"/>
          <w:szCs w:val="32"/>
        </w:rPr>
        <w:t>（二）</w:t>
      </w:r>
      <w:r>
        <w:rPr>
          <w:rFonts w:hint="eastAsia" w:ascii="仿宋" w:hAnsi="仿宋" w:eastAsia="仿宋" w:cs="仿宋"/>
          <w:sz w:val="32"/>
          <w:szCs w:val="32"/>
        </w:rPr>
        <w:t>完善管理制度，进一步加强</w:t>
      </w:r>
      <w:r>
        <w:rPr>
          <w:rFonts w:hint="eastAsia" w:ascii="仿宋" w:hAnsi="仿宋" w:eastAsia="仿宋" w:cs="仿宋"/>
          <w:sz w:val="32"/>
          <w:szCs w:val="32"/>
          <w:lang w:eastAsia="zh-CN"/>
        </w:rPr>
        <w:t>财务</w:t>
      </w:r>
      <w:r>
        <w:rPr>
          <w:rFonts w:hint="eastAsia" w:ascii="仿宋" w:hAnsi="仿宋" w:eastAsia="仿宋" w:cs="仿宋"/>
          <w:sz w:val="32"/>
          <w:szCs w:val="32"/>
        </w:rPr>
        <w:t>管</w:t>
      </w:r>
      <w:r>
        <w:rPr>
          <w:rFonts w:hint="eastAsia" w:ascii="仿宋" w:hAnsi="仿宋" w:eastAsia="仿宋" w:cs="仿宋"/>
          <w:sz w:val="32"/>
          <w:szCs w:val="32"/>
          <w:lang w:eastAsia="zh-CN"/>
        </w:rPr>
        <w:t>理</w:t>
      </w:r>
      <w:r>
        <w:rPr>
          <w:rFonts w:hint="eastAsia" w:ascii="仿宋" w:hAnsi="仿宋" w:eastAsia="仿宋" w:cs="仿宋"/>
          <w:sz w:val="32"/>
          <w:szCs w:val="32"/>
        </w:rPr>
        <w:t>。进一步贯彻落实中央“八项规定”和湖南省委“九条规定”，建立本部门“三公经费”等公务支出管理制度及厉行节约制度，加强经费审批和控制，规范支出标准与范围，并严格执行。</w:t>
      </w:r>
    </w:p>
    <w:p>
      <w:pPr>
        <w:ind w:firstLine="640" w:firstLineChars="200"/>
        <w:rPr>
          <w:rFonts w:hint="eastAsia" w:ascii="仿宋" w:hAnsi="仿宋" w:eastAsia="仿宋" w:cs="仿宋"/>
          <w:sz w:val="32"/>
          <w:szCs w:val="32"/>
        </w:rPr>
      </w:pPr>
      <w:r>
        <w:rPr>
          <w:rFonts w:hint="eastAsia" w:ascii="仿宋" w:hAnsi="仿宋" w:eastAsia="仿宋" w:cs="仿宋"/>
          <w:color w:val="010101"/>
          <w:sz w:val="32"/>
          <w:szCs w:val="32"/>
        </w:rPr>
        <w:t>（三）</w:t>
      </w:r>
      <w:r>
        <w:rPr>
          <w:rFonts w:hint="eastAsia" w:ascii="仿宋" w:hAnsi="仿宋" w:eastAsia="仿宋" w:cs="仿宋"/>
          <w:sz w:val="32"/>
          <w:szCs w:val="32"/>
        </w:rPr>
        <w:t>加强新行政单位会计制度和新预算法学习培训</w:t>
      </w:r>
    </w:p>
    <w:p>
      <w:pPr>
        <w:rPr>
          <w:rFonts w:hint="eastAsia" w:ascii="仿宋" w:hAnsi="仿宋" w:eastAsia="仿宋" w:cs="仿宋"/>
          <w:sz w:val="32"/>
          <w:szCs w:val="32"/>
        </w:rPr>
      </w:pPr>
      <w:r>
        <w:rPr>
          <w:rFonts w:hint="eastAsia" w:ascii="仿宋" w:hAnsi="仿宋" w:eastAsia="仿宋" w:cs="仿宋"/>
          <w:sz w:val="32"/>
          <w:szCs w:val="32"/>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pStyle w:val="4"/>
        <w:widowControl/>
        <w:shd w:val="clear" w:color="auto" w:fill="FFFFFF"/>
        <w:spacing w:beforeAutospacing="0" w:afterAutospacing="0" w:line="480" w:lineRule="atLeast"/>
        <w:ind w:firstLine="645"/>
        <w:rPr>
          <w:rFonts w:ascii="仿宋" w:hAnsi="仿宋" w:eastAsia="仿宋" w:cs="仿宋"/>
          <w:color w:val="000000"/>
          <w:sz w:val="32"/>
          <w:szCs w:val="32"/>
        </w:rPr>
      </w:pPr>
    </w:p>
    <w:p>
      <w:pPr>
        <w:pStyle w:val="4"/>
        <w:widowControl/>
        <w:shd w:val="clear" w:color="auto" w:fill="FFFFFF"/>
        <w:spacing w:beforeAutospacing="0" w:afterAutospacing="0" w:line="480" w:lineRule="atLeast"/>
        <w:ind w:firstLine="645"/>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附件：1.部门整体支出绩效评价基础数据表</w:t>
      </w:r>
    </w:p>
    <w:p>
      <w:pPr>
        <w:pStyle w:val="4"/>
        <w:widowControl/>
        <w:shd w:val="clear" w:color="auto" w:fill="FFFFFF"/>
        <w:spacing w:beforeAutospacing="0" w:afterAutospacing="0" w:line="480" w:lineRule="atLeast"/>
        <w:ind w:firstLine="1610" w:firstLineChars="503"/>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2.部门整体支出绩效自评表</w:t>
      </w:r>
    </w:p>
    <w:p>
      <w:pPr>
        <w:pStyle w:val="4"/>
        <w:widowControl/>
        <w:shd w:val="clear" w:color="auto" w:fill="FFFFFF"/>
        <w:spacing w:beforeAutospacing="0" w:afterAutospacing="0" w:line="480" w:lineRule="atLeast"/>
        <w:jc w:val="both"/>
        <w:rPr>
          <w:rFonts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p>
    <w:p>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pStyle w:val="4"/>
        <w:widowControl/>
        <w:shd w:val="clear" w:color="auto" w:fill="FFFFFF"/>
        <w:spacing w:beforeAutospacing="0" w:afterAutospacing="0" w:line="480" w:lineRule="atLeast"/>
        <w:ind w:firstLine="980" w:firstLineChars="350"/>
        <w:jc w:val="both"/>
        <w:rPr>
          <w:rFonts w:ascii="黑体" w:hAnsi="黑体" w:eastAsia="黑体" w:cs="黑体"/>
          <w:spacing w:val="-20"/>
          <w:sz w:val="32"/>
          <w:szCs w:val="32"/>
        </w:rPr>
      </w:pPr>
      <w:r>
        <w:rPr>
          <w:rFonts w:hint="eastAsia" w:ascii="黑体" w:hAnsi="黑体" w:eastAsia="黑体" w:cs="黑体"/>
          <w:spacing w:val="-20"/>
          <w:sz w:val="32"/>
          <w:szCs w:val="32"/>
        </w:rPr>
        <w:t>2022年度部门整体支出绩效评价基础数据表</w:t>
      </w:r>
    </w:p>
    <w:p>
      <w:pPr>
        <w:spacing w:line="200" w:lineRule="exact"/>
        <w:jc w:val="center"/>
        <w:rPr>
          <w:rFonts w:eastAsia="方正小标宋_GBK"/>
          <w:sz w:val="44"/>
        </w:rPr>
      </w:pPr>
    </w:p>
    <w:tbl>
      <w:tblPr>
        <w:tblW w:w="10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543"/>
        <w:gridCol w:w="1207"/>
        <w:gridCol w:w="930"/>
        <w:gridCol w:w="945"/>
        <w:gridCol w:w="1110"/>
        <w:gridCol w:w="1155"/>
        <w:gridCol w:w="1155"/>
      </w:tblGrid>
      <w:tr>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 w:val="32"/>
                <w:szCs w:val="21"/>
              </w:rPr>
            </w:pPr>
            <w:r>
              <w:rPr>
                <w:rFonts w:hint="eastAsia" w:ascii="仿宋" w:hAnsi="仿宋" w:eastAsia="仿宋" w:cs="仿宋"/>
                <w:b/>
                <w:bCs/>
                <w:kern w:val="0"/>
                <w:szCs w:val="21"/>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编制数</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2022年实际在职人数</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控制率</w:t>
            </w:r>
          </w:p>
        </w:tc>
      </w:tr>
      <w:tr>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124</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89</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100%</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2021年决算数</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2022年预算数</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2022年决算数</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三公经费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3.47</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3.35</w:t>
            </w:r>
            <w:r>
              <w:rPr>
                <w:rFonts w:hint="eastAsia" w:ascii="仿宋" w:hAnsi="仿宋" w:eastAsia="仿宋" w:cs="仿宋"/>
                <w:kern w:val="0"/>
                <w:szCs w:val="21"/>
              </w:rPr>
              <w:t>　</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1.58</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2</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1.594</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其中：公车购置</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公车运行维护</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1.58</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1.94</w:t>
            </w:r>
            <w:r>
              <w:rPr>
                <w:rFonts w:hint="eastAsia" w:ascii="仿宋" w:hAnsi="仿宋" w:eastAsia="仿宋" w:cs="仿宋"/>
                <w:kern w:val="0"/>
                <w:szCs w:val="21"/>
              </w:rPr>
              <w:t>　</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2、出国经费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3、公务接待</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1.89</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1.8</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项目支出</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69.12</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206</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279.54</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315" w:firstLineChars="150"/>
              <w:rPr>
                <w:rFonts w:ascii="仿宋" w:hAnsi="仿宋" w:eastAsia="仿宋" w:cs="仿宋"/>
                <w:kern w:val="0"/>
                <w:szCs w:val="21"/>
              </w:rPr>
            </w:pPr>
            <w:r>
              <w:rPr>
                <w:rFonts w:hint="eastAsia" w:ascii="仿宋" w:hAnsi="仿宋" w:eastAsia="仿宋" w:cs="仿宋"/>
                <w:kern w:val="0"/>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69.12</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198</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279.15</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2、运行维护经费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8</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0.39</w:t>
            </w:r>
            <w:r>
              <w:rPr>
                <w:rFonts w:hint="eastAsia" w:ascii="仿宋" w:hAnsi="仿宋" w:eastAsia="仿宋" w:cs="仿宋"/>
                <w:kern w:val="0"/>
                <w:szCs w:val="21"/>
              </w:rPr>
              <w:t>　</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3、上级专项资金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kern w:val="0"/>
                <w:szCs w:val="21"/>
              </w:rPr>
              <w:t xml:space="preserve">          ××专项资金</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公用经费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176.71</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419.02</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其中：办公经费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13.42</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25</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50.02</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46.7</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28</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53.74</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1.3</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1.48</w:t>
            </w:r>
            <w:r>
              <w:rPr>
                <w:rFonts w:hint="eastAsia" w:ascii="仿宋" w:hAnsi="仿宋" w:eastAsia="仿宋" w:cs="仿宋"/>
                <w:kern w:val="0"/>
                <w:szCs w:val="21"/>
              </w:rPr>
              <w:t>　</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政府采购金额</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45.5</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50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103.65</w:t>
            </w:r>
          </w:p>
        </w:tc>
      </w:tr>
      <w:tr>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ascii="仿宋" w:hAnsi="仿宋" w:eastAsia="仿宋" w:cs="仿宋"/>
                <w:kern w:val="0"/>
                <w:szCs w:val="21"/>
              </w:rPr>
            </w:pPr>
            <w:r>
              <w:rPr>
                <w:rFonts w:hint="eastAsia" w:ascii="仿宋" w:hAnsi="仿宋" w:eastAsia="仿宋" w:cs="仿宋"/>
                <w:b/>
                <w:bCs/>
                <w:kern w:val="0"/>
                <w:szCs w:val="21"/>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149.25</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1220.07</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977.77</w:t>
            </w:r>
          </w:p>
        </w:tc>
      </w:tr>
      <w:tr>
        <w:trPr>
          <w:trHeight w:val="795" w:hRule="atLeast"/>
          <w:jc w:val="center"/>
        </w:trPr>
        <w:tc>
          <w:tcPr>
            <w:tcW w:w="354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楼堂馆所控制情况</w:t>
            </w:r>
            <w:r>
              <w:rPr>
                <w:rFonts w:hint="eastAsia" w:ascii="仿宋" w:hAnsi="仿宋" w:eastAsia="仿宋" w:cs="仿宋"/>
                <w:b/>
                <w:bCs/>
                <w:kern w:val="0"/>
                <w:szCs w:val="21"/>
              </w:rPr>
              <w:br/>
            </w:r>
            <w:r>
              <w:rPr>
                <w:rFonts w:hint="eastAsia" w:ascii="仿宋" w:hAnsi="仿宋" w:eastAsia="仿宋" w:cs="仿宋"/>
                <w:b/>
                <w:bCs/>
                <w:kern w:val="0"/>
                <w:szCs w:val="21"/>
              </w:rPr>
              <w:t>（2022年完工项目）</w:t>
            </w: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批复规模</w:t>
            </w:r>
            <w:r>
              <w:rPr>
                <w:rFonts w:hint="eastAsia" w:ascii="仿宋" w:hAnsi="仿宋" w:eastAsia="仿宋" w:cs="仿宋"/>
                <w:kern w:val="0"/>
                <w:szCs w:val="21"/>
              </w:rPr>
              <w:br/>
            </w:r>
            <w:r>
              <w:rPr>
                <w:rFonts w:hint="eastAsia" w:ascii="仿宋" w:hAnsi="仿宋" w:eastAsia="仿宋" w:cs="仿宋"/>
                <w:kern w:val="0"/>
                <w:szCs w:val="21"/>
              </w:rPr>
              <w:t>（㎡）</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实际规模（㎡）</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规模控制率</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预算投资（万元）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投资概算控制率</w:t>
            </w:r>
          </w:p>
        </w:tc>
      </w:tr>
      <w:tr>
        <w:trPr>
          <w:jc w:val="center"/>
        </w:trPr>
        <w:tc>
          <w:tcPr>
            <w:tcW w:w="354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r>
      <w:tr>
        <w:trPr>
          <w:trHeight w:val="1210" w:hRule="atLeast"/>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pPr>
              <w:spacing w:line="240" w:lineRule="exact"/>
              <w:ind w:firstLine="315" w:firstLineChars="150"/>
              <w:rPr>
                <w:rFonts w:ascii="仿宋" w:hAnsi="仿宋" w:eastAsia="仿宋" w:cs="仿宋"/>
                <w:kern w:val="0"/>
                <w:szCs w:val="21"/>
              </w:rPr>
            </w:pPr>
            <w:r>
              <w:rPr>
                <w:rFonts w:hint="eastAsia" w:ascii="仿宋" w:hAnsi="仿宋" w:eastAsia="仿宋" w:cs="仿宋"/>
                <w:color w:val="000000"/>
                <w:kern w:val="0"/>
                <w:sz w:val="24"/>
                <w:szCs w:val="24"/>
                <w:lang w:eastAsia="zh-CN"/>
              </w:rPr>
              <w:t>增强全体干部职工节约意识，控制会议、差旅、文件等一般性支出，加强公车管理，规范公务接待管理。</w:t>
            </w:r>
          </w:p>
        </w:tc>
      </w:tr>
      <w:tr>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rPr>
                <w:rFonts w:eastAsia="仿宋_GB2312"/>
                <w:kern w:val="0"/>
                <w:szCs w:val="21"/>
              </w:rPr>
            </w:pPr>
            <w:r>
              <w:rPr>
                <w:rFonts w:eastAsia="仿宋_GB2312"/>
                <w:kern w:val="0"/>
                <w:szCs w:val="21"/>
              </w:rPr>
              <w:t>说明：“项目支出”需要填报基本支出以外的所有项目支出情况，“公用经费”填报基本支出中的一般商品和服务支出。</w:t>
            </w:r>
          </w:p>
          <w:p>
            <w:pPr>
              <w:spacing w:line="240" w:lineRule="exact"/>
              <w:ind w:firstLine="315" w:firstLineChars="150"/>
              <w:rPr>
                <w:rFonts w:ascii="仿宋" w:hAnsi="仿宋" w:eastAsia="仿宋" w:cs="仿宋"/>
                <w:kern w:val="0"/>
                <w:szCs w:val="21"/>
              </w:rPr>
            </w:pPr>
          </w:p>
        </w:tc>
      </w:tr>
    </w:tbl>
    <w:p>
      <w:pPr>
        <w:widowControl/>
        <w:spacing w:line="240" w:lineRule="exact"/>
        <w:jc w:val="left"/>
        <w:rPr>
          <w:rFonts w:eastAsia="仿宋_GB2312"/>
          <w:kern w:val="0"/>
          <w:szCs w:val="21"/>
        </w:rPr>
      </w:pPr>
    </w:p>
    <w:p>
      <w:pPr>
        <w:pStyle w:val="4"/>
        <w:widowControl/>
        <w:shd w:val="clear" w:color="auto" w:fill="FFFFFF"/>
        <w:spacing w:beforeAutospacing="0" w:afterAutospacing="0" w:line="480" w:lineRule="atLeast"/>
        <w:rPr>
          <w:rFonts w:ascii="微软雅黑" w:hAnsi="微软雅黑" w:eastAsia="微软雅黑" w:cs="微软雅黑"/>
          <w:color w:val="000000"/>
        </w:rPr>
      </w:pPr>
    </w:p>
    <w:p>
      <w:pPr>
        <w:pStyle w:val="4"/>
        <w:widowControl/>
        <w:shd w:val="clear" w:color="auto" w:fill="FFFFFF"/>
        <w:spacing w:before="62" w:beforeAutospacing="0" w:afterAutospacing="0" w:line="480" w:lineRule="atLeast"/>
        <w:jc w:val="both"/>
        <w:rPr>
          <w:rFonts w:ascii="宋体" w:hAnsi="宋体" w:cs="宋体"/>
          <w:color w:val="000000"/>
        </w:rPr>
      </w:pPr>
    </w:p>
    <w:p>
      <w:pPr>
        <w:spacing w:line="579" w:lineRule="exact"/>
        <w:rPr>
          <w:rFonts w:hint="eastAsia" w:ascii="黑体" w:hAnsi="黑体" w:eastAsia="黑体" w:cs="黑体"/>
          <w:color w:val="000000"/>
          <w:sz w:val="32"/>
          <w:szCs w:val="32"/>
        </w:rPr>
      </w:pPr>
    </w:p>
    <w:p>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pPr>
        <w:widowControl w:val="0"/>
        <w:wordWrap/>
        <w:adjustRightInd/>
        <w:snapToGrid/>
        <w:spacing w:line="300" w:lineRule="exact"/>
        <w:textAlignment w:val="auto"/>
        <w:outlineLvl w:val="9"/>
        <w:rPr>
          <w:rFonts w:hint="default" w:ascii="Times New Roman" w:hAnsi="Times New Roman" w:eastAsia="黑体" w:cs="Times New Roman"/>
          <w:color w:val="000000"/>
          <w:sz w:val="32"/>
          <w:szCs w:val="32"/>
        </w:rPr>
      </w:pPr>
    </w:p>
    <w:p>
      <w:pPr>
        <w:spacing w:line="740" w:lineRule="exact"/>
        <w:jc w:val="center"/>
        <w:rPr>
          <w:rFonts w:hint="eastAsia" w:ascii="黑体" w:hAnsi="黑体" w:eastAsia="黑体" w:cs="黑体"/>
          <w:sz w:val="44"/>
        </w:rPr>
      </w:pPr>
      <w:r>
        <w:rPr>
          <w:rFonts w:hint="eastAsia" w:ascii="黑体" w:hAnsi="黑体" w:eastAsia="黑体" w:cs="黑体"/>
          <w:sz w:val="44"/>
        </w:rPr>
        <w:t>202</w:t>
      </w:r>
      <w:r>
        <w:rPr>
          <w:rFonts w:hint="eastAsia" w:ascii="黑体" w:hAnsi="黑体" w:eastAsia="黑体" w:cs="黑体"/>
          <w:sz w:val="44"/>
          <w:lang w:val="en-US" w:eastAsia="zh-CN"/>
        </w:rPr>
        <w:t>2</w:t>
      </w:r>
      <w:r>
        <w:rPr>
          <w:rFonts w:hint="eastAsia" w:ascii="黑体" w:hAnsi="黑体" w:eastAsia="黑体" w:cs="黑体"/>
          <w:sz w:val="44"/>
        </w:rPr>
        <w:t>年度部门整体支出绩效自评表</w:t>
      </w:r>
    </w:p>
    <w:p>
      <w:pPr>
        <w:widowControl w:val="0"/>
        <w:wordWrap/>
        <w:adjustRightInd/>
        <w:snapToGrid/>
        <w:spacing w:line="300" w:lineRule="exact"/>
        <w:jc w:val="center"/>
        <w:textAlignment w:val="auto"/>
        <w:outlineLvl w:val="9"/>
        <w:rPr>
          <w:rFonts w:hint="default" w:ascii="Times New Roman" w:hAnsi="Times New Roman" w:eastAsia="方正小标宋_GBK" w:cs="Times New Roman"/>
          <w:sz w:val="44"/>
        </w:rPr>
      </w:pPr>
    </w:p>
    <w:tbl>
      <w:tblPr>
        <w:tblW w:w="10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绥宁县市场监督管理局</w:t>
            </w:r>
            <w:r>
              <w:rPr>
                <w:rFonts w:hint="eastAsia" w:ascii="仿宋" w:hAnsi="仿宋" w:eastAsia="仿宋" w:cs="仿宋"/>
                <w:color w:val="000000"/>
                <w:kern w:val="0"/>
                <w:sz w:val="21"/>
                <w:szCs w:val="21"/>
              </w:rPr>
              <w:t>　</w:t>
            </w:r>
          </w:p>
        </w:tc>
      </w:tr>
      <w:tr>
        <w:trPr>
          <w:trHeight w:val="460" w:hRule="atLeast"/>
          <w:jc w:val="center"/>
        </w:trPr>
        <w:tc>
          <w:tcPr>
            <w:tcW w:w="716" w:type="dxa"/>
            <w:vMerge w:val="restart"/>
            <w:tcBorders>
              <w:top w:val="nil"/>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vAlign w:val="center"/>
          </w:tcPr>
          <w:p>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trPr>
          <w:trHeight w:val="465" w:hRule="atLeast"/>
          <w:jc w:val="center"/>
        </w:trPr>
        <w:tc>
          <w:tcPr>
            <w:tcW w:w="716" w:type="dxa"/>
            <w:vMerge w:val="continue"/>
            <w:tcBorders>
              <w:top w:val="nil"/>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1220.07</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2197.8</w:t>
            </w:r>
          </w:p>
        </w:tc>
        <w:tc>
          <w:tcPr>
            <w:tcW w:w="163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2197.8</w:t>
            </w:r>
          </w:p>
        </w:tc>
        <w:tc>
          <w:tcPr>
            <w:tcW w:w="825"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A</w:t>
            </w:r>
          </w:p>
        </w:tc>
        <w:tc>
          <w:tcPr>
            <w:tcW w:w="1073"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trPr>
          <w:trHeight w:val="43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2187.8</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1918.3</w:t>
            </w:r>
          </w:p>
        </w:tc>
      </w:tr>
      <w:tr>
        <w:trPr>
          <w:trHeight w:val="450"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10</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279.5</w:t>
            </w:r>
          </w:p>
        </w:tc>
      </w:tr>
      <w:tr>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r>
      <w:tr>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其他资金：</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r>
      <w:tr>
        <w:trPr>
          <w:trHeight w:val="490" w:hRule="atLeast"/>
          <w:jc w:val="center"/>
        </w:trPr>
        <w:tc>
          <w:tcPr>
            <w:tcW w:w="716"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trPr>
          <w:trHeight w:val="1470" w:hRule="atLeast"/>
          <w:jc w:val="center"/>
        </w:trPr>
        <w:tc>
          <w:tcPr>
            <w:tcW w:w="716"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贯彻执行国家、省、市有关工商行政管理、质量技术监督、食品药品监督管理等方面的法律、法规和政策；依法开展市场监督管理和行政执法的有关工作</w:t>
            </w:r>
            <w:r>
              <w:rPr>
                <w:rFonts w:hint="eastAsia" w:ascii="仿宋" w:hAnsi="仿宋" w:eastAsia="仿宋" w:cs="仿宋"/>
                <w:color w:val="000000"/>
                <w:kern w:val="0"/>
                <w:sz w:val="21"/>
                <w:szCs w:val="21"/>
                <w:lang w:eastAsia="zh-CN"/>
              </w:rPr>
              <w:t>。</w:t>
            </w:r>
          </w:p>
        </w:tc>
        <w:tc>
          <w:tcPr>
            <w:tcW w:w="4988" w:type="dxa"/>
            <w:gridSpan w:val="4"/>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加强</w:t>
            </w:r>
            <w:r>
              <w:rPr>
                <w:rFonts w:hint="eastAsia" w:ascii="仿宋" w:hAnsi="仿宋" w:eastAsia="仿宋" w:cs="仿宋"/>
                <w:color w:val="000000"/>
                <w:kern w:val="0"/>
                <w:sz w:val="21"/>
                <w:szCs w:val="21"/>
                <w:lang w:eastAsia="zh-CN"/>
              </w:rPr>
              <w:t>了</w:t>
            </w:r>
            <w:r>
              <w:rPr>
                <w:rFonts w:hint="eastAsia" w:ascii="仿宋" w:hAnsi="仿宋" w:eastAsia="仿宋" w:cs="仿宋"/>
                <w:color w:val="000000"/>
                <w:kern w:val="0"/>
                <w:sz w:val="21"/>
                <w:szCs w:val="21"/>
              </w:rPr>
              <w:t>食品</w:t>
            </w:r>
            <w:r>
              <w:rPr>
                <w:rFonts w:hint="eastAsia" w:ascii="仿宋" w:hAnsi="仿宋" w:eastAsia="仿宋" w:cs="仿宋"/>
                <w:color w:val="000000"/>
                <w:kern w:val="0"/>
                <w:sz w:val="21"/>
                <w:szCs w:val="21"/>
                <w:lang w:eastAsia="zh-CN"/>
              </w:rPr>
              <w:t>、药品、特种设备</w:t>
            </w:r>
            <w:r>
              <w:rPr>
                <w:rFonts w:hint="eastAsia" w:ascii="仿宋" w:hAnsi="仿宋" w:eastAsia="仿宋" w:cs="仿宋"/>
                <w:color w:val="000000"/>
                <w:kern w:val="0"/>
                <w:sz w:val="21"/>
                <w:szCs w:val="21"/>
              </w:rPr>
              <w:t>监管，加大</w:t>
            </w:r>
            <w:r>
              <w:rPr>
                <w:rFonts w:hint="eastAsia" w:ascii="仿宋" w:hAnsi="仿宋" w:eastAsia="仿宋" w:cs="仿宋"/>
                <w:color w:val="000000"/>
                <w:kern w:val="0"/>
                <w:sz w:val="21"/>
                <w:szCs w:val="21"/>
                <w:lang w:eastAsia="zh-CN"/>
              </w:rPr>
              <w:t>了</w:t>
            </w:r>
            <w:r>
              <w:rPr>
                <w:rFonts w:hint="eastAsia" w:ascii="仿宋" w:hAnsi="仿宋" w:eastAsia="仿宋" w:cs="仿宋"/>
                <w:color w:val="000000"/>
                <w:kern w:val="0"/>
                <w:sz w:val="21"/>
                <w:szCs w:val="21"/>
              </w:rPr>
              <w:t>非法经营查处力度，做好投诉举报受理工作；加强培训，维护市场监督队伍相对稳定，不断提高监管人员专业水平和综合素质，提升监管、检查装备能力，加大药品科普宣传力度，普及安全用药知识；依法监督管理各类消费品市场、生产资料市场、监督管理网络商品交易及有关服务的行为，依法查处不正当竞争、商业贿赂</w:t>
            </w:r>
            <w:r>
              <w:rPr>
                <w:rFonts w:hint="eastAsia" w:ascii="仿宋" w:hAnsi="仿宋" w:eastAsia="仿宋" w:cs="仿宋"/>
                <w:color w:val="000000"/>
                <w:kern w:val="0"/>
                <w:sz w:val="21"/>
                <w:szCs w:val="21"/>
                <w:lang w:eastAsia="zh-CN"/>
              </w:rPr>
              <w:t>等。</w:t>
            </w:r>
          </w:p>
        </w:tc>
      </w:tr>
      <w:tr>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召开全县食品安全会议</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1次</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eastAsia="zh-CN"/>
              </w:rPr>
              <w:t>1次</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党报党刊订阅</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2</w:t>
            </w:r>
            <w:r>
              <w:rPr>
                <w:rFonts w:hint="eastAsia" w:ascii="仿宋" w:hAnsi="仿宋" w:eastAsia="仿宋" w:cs="仿宋"/>
                <w:b w:val="0"/>
                <w:i w:val="0"/>
                <w:color w:val="000000"/>
                <w:sz w:val="21"/>
                <w:szCs w:val="21"/>
                <w:u w:val="none"/>
                <w:lang w:val="en-US" w:eastAsia="zh-CN"/>
              </w:rPr>
              <w:t>7</w:t>
            </w:r>
            <w:r>
              <w:rPr>
                <w:rFonts w:hint="eastAsia" w:ascii="仿宋" w:hAnsi="仿宋" w:eastAsia="仿宋" w:cs="仿宋"/>
                <w:b w:val="0"/>
                <w:i w:val="0"/>
                <w:color w:val="000000"/>
                <w:sz w:val="21"/>
                <w:szCs w:val="21"/>
                <w:u w:val="none"/>
                <w:lang w:eastAsia="zh-CN"/>
              </w:rPr>
              <w:t>0份</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eastAsia="zh-CN"/>
              </w:rPr>
              <w:t>2</w:t>
            </w:r>
            <w:r>
              <w:rPr>
                <w:rFonts w:hint="eastAsia" w:ascii="仿宋" w:hAnsi="仿宋" w:eastAsia="仿宋" w:cs="仿宋"/>
                <w:b w:val="0"/>
                <w:i w:val="0"/>
                <w:color w:val="000000"/>
                <w:sz w:val="21"/>
                <w:szCs w:val="21"/>
                <w:u w:val="none"/>
                <w:lang w:val="en-US" w:eastAsia="zh-CN"/>
              </w:rPr>
              <w:t>7</w:t>
            </w:r>
            <w:r>
              <w:rPr>
                <w:rFonts w:hint="eastAsia" w:ascii="仿宋" w:hAnsi="仿宋" w:eastAsia="仿宋" w:cs="仿宋"/>
                <w:b w:val="0"/>
                <w:i w:val="0"/>
                <w:color w:val="000000"/>
                <w:sz w:val="21"/>
                <w:szCs w:val="21"/>
                <w:u w:val="none"/>
                <w:lang w:eastAsia="zh-CN"/>
              </w:rPr>
              <w:t>0份</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参加培训干部人数</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89人</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eastAsia="zh-CN"/>
              </w:rPr>
              <w:t>89人</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办公室水、电、电脑维护费</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val="en-US" w:eastAsia="zh-CN"/>
              </w:rPr>
              <w:t>5</w:t>
            </w:r>
            <w:r>
              <w:rPr>
                <w:rFonts w:hint="eastAsia" w:ascii="仿宋" w:hAnsi="仿宋" w:eastAsia="仿宋" w:cs="仿宋"/>
                <w:b w:val="0"/>
                <w:i w:val="0"/>
                <w:color w:val="000000"/>
                <w:sz w:val="21"/>
                <w:szCs w:val="21"/>
                <w:u w:val="none"/>
                <w:lang w:eastAsia="zh-CN"/>
              </w:rPr>
              <w:t>00次</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val="en-US" w:eastAsia="zh-CN"/>
              </w:rPr>
              <w:t>5</w:t>
            </w:r>
            <w:r>
              <w:rPr>
                <w:rFonts w:hint="eastAsia" w:ascii="仿宋" w:hAnsi="仿宋" w:eastAsia="仿宋" w:cs="仿宋"/>
                <w:b w:val="0"/>
                <w:i w:val="0"/>
                <w:color w:val="000000"/>
                <w:sz w:val="21"/>
                <w:szCs w:val="21"/>
                <w:u w:val="none"/>
                <w:lang w:eastAsia="zh-CN"/>
              </w:rPr>
              <w:t>00次</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县内下乡出差天数</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val="en-US" w:eastAsia="zh-CN"/>
              </w:rPr>
              <w:t>4016</w:t>
            </w:r>
            <w:r>
              <w:rPr>
                <w:rFonts w:hint="eastAsia" w:ascii="仿宋" w:hAnsi="仿宋" w:eastAsia="仿宋" w:cs="仿宋"/>
                <w:b w:val="0"/>
                <w:i w:val="0"/>
                <w:color w:val="000000"/>
                <w:sz w:val="21"/>
                <w:szCs w:val="21"/>
                <w:u w:val="none"/>
                <w:lang w:eastAsia="zh-CN"/>
              </w:rPr>
              <w:t>次</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val="en-US" w:eastAsia="zh-CN"/>
              </w:rPr>
              <w:t>4016</w:t>
            </w:r>
            <w:r>
              <w:rPr>
                <w:rFonts w:hint="eastAsia" w:ascii="仿宋" w:hAnsi="仿宋" w:eastAsia="仿宋" w:cs="仿宋"/>
                <w:b w:val="0"/>
                <w:i w:val="0"/>
                <w:color w:val="000000"/>
                <w:sz w:val="21"/>
                <w:szCs w:val="21"/>
                <w:u w:val="none"/>
                <w:lang w:eastAsia="zh-CN"/>
              </w:rPr>
              <w:t>次</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县外出差天数</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val="en-US" w:eastAsia="zh-CN"/>
              </w:rPr>
              <w:t>50</w:t>
            </w:r>
            <w:r>
              <w:rPr>
                <w:rFonts w:hint="eastAsia" w:ascii="仿宋" w:hAnsi="仿宋" w:eastAsia="仿宋" w:cs="仿宋"/>
                <w:b w:val="0"/>
                <w:i w:val="0"/>
                <w:color w:val="000000"/>
                <w:sz w:val="21"/>
                <w:szCs w:val="21"/>
                <w:u w:val="none"/>
                <w:lang w:eastAsia="zh-CN"/>
              </w:rPr>
              <w:t>0次</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val="en-US" w:eastAsia="zh-CN"/>
              </w:rPr>
              <w:t>50</w:t>
            </w:r>
            <w:r>
              <w:rPr>
                <w:rFonts w:hint="eastAsia" w:ascii="仿宋" w:hAnsi="仿宋" w:eastAsia="仿宋" w:cs="仿宋"/>
                <w:b w:val="0"/>
                <w:i w:val="0"/>
                <w:color w:val="000000"/>
                <w:sz w:val="21"/>
                <w:szCs w:val="21"/>
                <w:u w:val="none"/>
                <w:lang w:eastAsia="zh-CN"/>
              </w:rPr>
              <w:t>0次</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办公用笔数量</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val="en-US" w:eastAsia="zh-CN"/>
              </w:rPr>
              <w:t>3</w:t>
            </w:r>
            <w:r>
              <w:rPr>
                <w:rFonts w:hint="eastAsia" w:ascii="仿宋" w:hAnsi="仿宋" w:eastAsia="仿宋" w:cs="仿宋"/>
                <w:b w:val="0"/>
                <w:i w:val="0"/>
                <w:color w:val="000000"/>
                <w:sz w:val="21"/>
                <w:szCs w:val="21"/>
                <w:u w:val="none"/>
                <w:lang w:eastAsia="zh-CN"/>
              </w:rPr>
              <w:t>00盒</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val="en-US" w:eastAsia="zh-CN"/>
              </w:rPr>
              <w:t>3</w:t>
            </w:r>
            <w:r>
              <w:rPr>
                <w:rFonts w:hint="eastAsia" w:ascii="仿宋" w:hAnsi="仿宋" w:eastAsia="仿宋" w:cs="仿宋"/>
                <w:b w:val="0"/>
                <w:i w:val="0"/>
                <w:color w:val="000000"/>
                <w:sz w:val="21"/>
                <w:szCs w:val="21"/>
                <w:u w:val="none"/>
                <w:lang w:eastAsia="zh-CN"/>
              </w:rPr>
              <w:t>00盒</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公务接待人次</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420人次</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eastAsia="zh-CN"/>
              </w:rPr>
              <w:t>420人次</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办公用电话</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35部</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eastAsia="zh-CN"/>
              </w:rPr>
              <w:t>35部</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办公用网络</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7条</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eastAsia="zh-CN"/>
              </w:rPr>
              <w:t>7条</w:t>
            </w:r>
          </w:p>
        </w:tc>
        <w:tc>
          <w:tcPr>
            <w:tcW w:w="825" w:type="dxa"/>
            <w:tcBorders>
              <w:top w:val="single" w:color="auto" w:sz="4" w:space="0"/>
              <w:left w:val="nil"/>
              <w:bottom w:val="single" w:color="auto"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印刷各种资料</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25000份</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eastAsia="zh-CN"/>
              </w:rPr>
              <w:t>25000份</w:t>
            </w:r>
          </w:p>
        </w:tc>
        <w:tc>
          <w:tcPr>
            <w:tcW w:w="825" w:type="dxa"/>
            <w:tcBorders>
              <w:top w:val="single" w:color="auto" w:sz="4" w:space="0"/>
              <w:left w:val="nil"/>
              <w:bottom w:val="single" w:color="auto"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办公用抽纸</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val="en-US" w:eastAsia="zh-CN"/>
              </w:rPr>
              <w:t>4</w:t>
            </w:r>
            <w:r>
              <w:rPr>
                <w:rFonts w:hint="eastAsia" w:ascii="仿宋" w:hAnsi="仿宋" w:eastAsia="仿宋" w:cs="仿宋"/>
                <w:b w:val="0"/>
                <w:i w:val="0"/>
                <w:color w:val="000000"/>
                <w:sz w:val="21"/>
                <w:szCs w:val="21"/>
                <w:u w:val="none"/>
                <w:lang w:eastAsia="zh-CN"/>
              </w:rPr>
              <w:t>00件</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val="en-US" w:eastAsia="zh-CN"/>
              </w:rPr>
              <w:t>4</w:t>
            </w:r>
            <w:r>
              <w:rPr>
                <w:rFonts w:hint="eastAsia" w:ascii="仿宋" w:hAnsi="仿宋" w:eastAsia="仿宋" w:cs="仿宋"/>
                <w:b w:val="0"/>
                <w:i w:val="0"/>
                <w:color w:val="000000"/>
                <w:sz w:val="21"/>
                <w:szCs w:val="21"/>
                <w:u w:val="none"/>
                <w:lang w:eastAsia="zh-CN"/>
              </w:rPr>
              <w:t>00件</w:t>
            </w:r>
          </w:p>
        </w:tc>
        <w:tc>
          <w:tcPr>
            <w:tcW w:w="825" w:type="dxa"/>
            <w:tcBorders>
              <w:top w:val="single" w:color="auto" w:sz="4" w:space="0"/>
              <w:left w:val="nil"/>
              <w:bottom w:val="single" w:color="auto"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办公用硒鼓、碳粉</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rPr>
              <w:t>2</w:t>
            </w:r>
            <w:r>
              <w:rPr>
                <w:rFonts w:hint="eastAsia" w:ascii="仿宋" w:hAnsi="仿宋" w:eastAsia="仿宋" w:cs="仿宋"/>
                <w:b w:val="0"/>
                <w:i w:val="0"/>
                <w:color w:val="000000"/>
                <w:sz w:val="21"/>
                <w:szCs w:val="21"/>
                <w:u w:val="none"/>
                <w:lang w:val="en-US" w:eastAsia="zh-CN"/>
              </w:rPr>
              <w:t>0</w:t>
            </w:r>
            <w:r>
              <w:rPr>
                <w:rFonts w:hint="eastAsia" w:ascii="仿宋" w:hAnsi="仿宋" w:eastAsia="仿宋" w:cs="仿宋"/>
                <w:b w:val="0"/>
                <w:i w:val="0"/>
                <w:color w:val="000000"/>
                <w:sz w:val="21"/>
                <w:szCs w:val="21"/>
                <w:u w:val="none"/>
              </w:rPr>
              <w:t>0</w:t>
            </w:r>
            <w:r>
              <w:rPr>
                <w:rFonts w:hint="eastAsia" w:ascii="仿宋" w:hAnsi="仿宋" w:eastAsia="仿宋" w:cs="仿宋"/>
                <w:b w:val="0"/>
                <w:i w:val="0"/>
                <w:color w:val="000000"/>
                <w:sz w:val="21"/>
                <w:szCs w:val="21"/>
                <w:u w:val="none"/>
                <w:lang w:eastAsia="zh-CN"/>
              </w:rPr>
              <w:t>个</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rPr>
              <w:t>2</w:t>
            </w:r>
            <w:r>
              <w:rPr>
                <w:rFonts w:hint="eastAsia" w:ascii="仿宋" w:hAnsi="仿宋" w:eastAsia="仿宋" w:cs="仿宋"/>
                <w:b w:val="0"/>
                <w:i w:val="0"/>
                <w:color w:val="000000"/>
                <w:sz w:val="21"/>
                <w:szCs w:val="21"/>
                <w:u w:val="none"/>
                <w:lang w:val="en-US" w:eastAsia="zh-CN"/>
              </w:rPr>
              <w:t>0</w:t>
            </w:r>
            <w:r>
              <w:rPr>
                <w:rFonts w:hint="eastAsia" w:ascii="仿宋" w:hAnsi="仿宋" w:eastAsia="仿宋" w:cs="仿宋"/>
                <w:b w:val="0"/>
                <w:i w:val="0"/>
                <w:color w:val="000000"/>
                <w:sz w:val="21"/>
                <w:szCs w:val="21"/>
                <w:u w:val="none"/>
              </w:rPr>
              <w:t>0</w:t>
            </w:r>
            <w:r>
              <w:rPr>
                <w:rFonts w:hint="eastAsia" w:ascii="仿宋" w:hAnsi="仿宋" w:eastAsia="仿宋" w:cs="仿宋"/>
                <w:b w:val="0"/>
                <w:i w:val="0"/>
                <w:color w:val="000000"/>
                <w:sz w:val="21"/>
                <w:szCs w:val="21"/>
                <w:u w:val="none"/>
                <w:lang w:eastAsia="zh-CN"/>
              </w:rPr>
              <w:t>个</w:t>
            </w:r>
          </w:p>
        </w:tc>
        <w:tc>
          <w:tcPr>
            <w:tcW w:w="825" w:type="dxa"/>
            <w:tcBorders>
              <w:top w:val="single" w:color="auto" w:sz="4" w:space="0"/>
              <w:left w:val="nil"/>
              <w:bottom w:val="single" w:color="auto"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办公用打印纸</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val="en-US" w:eastAsia="zh-CN"/>
              </w:rPr>
              <w:t>26</w:t>
            </w:r>
            <w:r>
              <w:rPr>
                <w:rFonts w:hint="eastAsia" w:ascii="仿宋" w:hAnsi="仿宋" w:eastAsia="仿宋" w:cs="仿宋"/>
                <w:b w:val="0"/>
                <w:i w:val="0"/>
                <w:color w:val="000000"/>
                <w:sz w:val="21"/>
                <w:szCs w:val="21"/>
                <w:u w:val="none"/>
                <w:lang w:eastAsia="zh-CN"/>
              </w:rPr>
              <w:t>0箱</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val="en-US" w:eastAsia="zh-CN"/>
              </w:rPr>
              <w:t>26</w:t>
            </w:r>
            <w:r>
              <w:rPr>
                <w:rFonts w:hint="eastAsia" w:ascii="仿宋" w:hAnsi="仿宋" w:eastAsia="仿宋" w:cs="仿宋"/>
                <w:b w:val="0"/>
                <w:i w:val="0"/>
                <w:color w:val="000000"/>
                <w:sz w:val="21"/>
                <w:szCs w:val="21"/>
                <w:u w:val="none"/>
                <w:lang w:eastAsia="zh-CN"/>
              </w:rPr>
              <w:t>0箱</w:t>
            </w:r>
          </w:p>
        </w:tc>
        <w:tc>
          <w:tcPr>
            <w:tcW w:w="825" w:type="dxa"/>
            <w:tcBorders>
              <w:top w:val="single" w:color="auto" w:sz="4" w:space="0"/>
              <w:left w:val="nil"/>
              <w:bottom w:val="single" w:color="auto"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享受交通补贴人数</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89人</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eastAsia="zh-CN"/>
              </w:rPr>
              <w:t>89人</w:t>
            </w:r>
          </w:p>
        </w:tc>
        <w:tc>
          <w:tcPr>
            <w:tcW w:w="825" w:type="dxa"/>
            <w:tcBorders>
              <w:top w:val="single" w:color="auto" w:sz="4" w:space="0"/>
              <w:left w:val="nil"/>
              <w:bottom w:val="single" w:color="auto"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发放工资人数</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89人</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lang w:eastAsia="zh-CN"/>
              </w:rPr>
              <w:t>89人</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离退休办公费</w:t>
            </w:r>
          </w:p>
        </w:tc>
        <w:tc>
          <w:tcPr>
            <w:tcW w:w="1487"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rPr>
              <w:t>1</w:t>
            </w:r>
            <w:r>
              <w:rPr>
                <w:rFonts w:hint="eastAsia" w:ascii="仿宋" w:hAnsi="仿宋" w:eastAsia="仿宋" w:cs="仿宋"/>
                <w:b w:val="0"/>
                <w:i w:val="0"/>
                <w:color w:val="000000"/>
                <w:sz w:val="21"/>
                <w:szCs w:val="21"/>
                <w:u w:val="none"/>
                <w:lang w:eastAsia="zh-CN"/>
              </w:rPr>
              <w:t>年</w:t>
            </w:r>
          </w:p>
        </w:tc>
        <w:tc>
          <w:tcPr>
            <w:tcW w:w="1635" w:type="dxa"/>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仿宋" w:hAnsi="仿宋" w:eastAsia="仿宋" w:cs="仿宋"/>
                <w:color w:val="000000"/>
                <w:kern w:val="0"/>
                <w:sz w:val="21"/>
                <w:szCs w:val="21"/>
              </w:rPr>
            </w:pPr>
            <w:r>
              <w:rPr>
                <w:rFonts w:hint="eastAsia" w:ascii="仿宋" w:hAnsi="仿宋" w:eastAsia="仿宋" w:cs="仿宋"/>
                <w:b w:val="0"/>
                <w:i w:val="0"/>
                <w:color w:val="000000"/>
                <w:sz w:val="21"/>
                <w:szCs w:val="21"/>
                <w:u w:val="none"/>
              </w:rPr>
              <w:t>1</w:t>
            </w:r>
            <w:r>
              <w:rPr>
                <w:rFonts w:hint="eastAsia" w:ascii="仿宋" w:hAnsi="仿宋" w:eastAsia="仿宋" w:cs="仿宋"/>
                <w:b w:val="0"/>
                <w:i w:val="0"/>
                <w:color w:val="000000"/>
                <w:sz w:val="21"/>
                <w:szCs w:val="21"/>
                <w:u w:val="none"/>
                <w:lang w:eastAsia="zh-CN"/>
              </w:rPr>
              <w:t>年</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机关运行保障率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r>
              <w:rPr>
                <w:rFonts w:hint="eastAsia" w:ascii="仿宋" w:hAnsi="仿宋" w:eastAsia="仿宋" w:cs="仿宋"/>
                <w:color w:val="000000"/>
                <w:kern w:val="0"/>
                <w:sz w:val="21"/>
                <w:szCs w:val="21"/>
                <w:lang w:val="en-US" w:eastAsia="zh-CN"/>
              </w:rPr>
              <w:t>%</w:t>
            </w:r>
          </w:p>
          <w:p>
            <w:pPr>
              <w:spacing w:line="240" w:lineRule="exact"/>
              <w:rPr>
                <w:rFonts w:hint="eastAsia" w:ascii="仿宋" w:hAnsi="仿宋" w:eastAsia="仿宋" w:cs="仿宋"/>
                <w:color w:val="000000"/>
                <w:kern w:val="0"/>
                <w:sz w:val="21"/>
                <w:szCs w:val="21"/>
              </w:rPr>
            </w:pP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r>
              <w:rPr>
                <w:rFonts w:hint="eastAsia" w:ascii="仿宋" w:hAnsi="仿宋" w:eastAsia="仿宋" w:cs="仿宋"/>
                <w:color w:val="000000"/>
                <w:kern w:val="0"/>
                <w:sz w:val="21"/>
                <w:szCs w:val="21"/>
                <w:lang w:val="en-US" w:eastAsia="zh-CN"/>
              </w:rPr>
              <w:t>%</w:t>
            </w:r>
          </w:p>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工作完成时间</w:t>
            </w:r>
          </w:p>
          <w:p>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2022年年底之前</w:t>
            </w:r>
          </w:p>
        </w:tc>
        <w:tc>
          <w:tcPr>
            <w:tcW w:w="1635"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2022年年底之前</w:t>
            </w:r>
          </w:p>
        </w:tc>
        <w:tc>
          <w:tcPr>
            <w:tcW w:w="825" w:type="dxa"/>
            <w:tcBorders>
              <w:top w:val="nil"/>
              <w:left w:val="nil"/>
              <w:bottom w:val="single" w:color="auto"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0.5</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0.5</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资金发放及时率</w:t>
            </w: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r>
              <w:rPr>
                <w:rFonts w:hint="eastAsia" w:ascii="仿宋" w:hAnsi="仿宋" w:eastAsia="仿宋" w:cs="仿宋"/>
                <w:color w:val="000000"/>
                <w:kern w:val="0"/>
                <w:sz w:val="21"/>
                <w:szCs w:val="21"/>
                <w:lang w:val="en-US" w:eastAsia="zh-CN"/>
              </w:rPr>
              <w:t>%</w:t>
            </w:r>
          </w:p>
          <w:p>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r>
              <w:rPr>
                <w:rFonts w:hint="eastAsia" w:ascii="仿宋" w:hAnsi="仿宋" w:eastAsia="仿宋" w:cs="仿宋"/>
                <w:color w:val="000000"/>
                <w:kern w:val="0"/>
                <w:sz w:val="21"/>
                <w:szCs w:val="21"/>
                <w:lang w:val="en-US" w:eastAsia="zh-CN"/>
              </w:rPr>
              <w:t>%</w:t>
            </w:r>
          </w:p>
          <w:p>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0.5</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0.5</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rPr>
          <w:trHeight w:val="490" w:hRule="atLeast"/>
          <w:jc w:val="center"/>
        </w:trPr>
        <w:tc>
          <w:tcPr>
            <w:tcW w:w="716"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603" w:type="dxa"/>
            <w:gridSpan w:val="2"/>
            <w:tcBorders>
              <w:top w:val="nil"/>
              <w:left w:val="nil"/>
              <w:bottom w:val="single" w:color="auto"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办公费</w:t>
            </w: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51.8万元</w:t>
            </w:r>
          </w:p>
        </w:tc>
        <w:tc>
          <w:tcPr>
            <w:tcW w:w="1635"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51.8万元</w:t>
            </w:r>
          </w:p>
        </w:tc>
        <w:tc>
          <w:tcPr>
            <w:tcW w:w="825" w:type="dxa"/>
            <w:tcBorders>
              <w:top w:val="nil"/>
              <w:left w:val="nil"/>
              <w:bottom w:val="single" w:color="auto"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差旅费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45.1万元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45.1万元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邮电费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3.8万元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3.8万元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电费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4.1万元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4.1万元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水费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5.2万元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5.2万元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印刷费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10.7万元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10.7万元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其他交通费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75.2万元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75.2万元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工会经费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69.6万元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69.6万元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福利费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49万元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49万元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b w:val="0"/>
                <w:i w:val="0"/>
                <w:color w:val="000000"/>
                <w:sz w:val="21"/>
                <w:szCs w:val="21"/>
                <w:u w:val="none"/>
                <w:lang w:eastAsia="zh-CN"/>
              </w:rPr>
            </w:pPr>
            <w:r>
              <w:rPr>
                <w:rFonts w:hint="eastAsia" w:ascii="仿宋" w:hAnsi="仿宋" w:eastAsia="仿宋" w:cs="仿宋"/>
                <w:b w:val="0"/>
                <w:i w:val="0"/>
                <w:color w:val="000000"/>
                <w:sz w:val="21"/>
                <w:szCs w:val="21"/>
                <w:u w:val="none"/>
                <w:lang w:eastAsia="zh-CN"/>
              </w:rPr>
              <w:t>咨询费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6.5万元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6.5万元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b w:val="0"/>
                <w:i w:val="0"/>
                <w:color w:val="000000"/>
                <w:sz w:val="21"/>
                <w:szCs w:val="21"/>
                <w:u w:val="none"/>
                <w:lang w:eastAsia="zh-CN"/>
              </w:rPr>
            </w:pPr>
            <w:r>
              <w:rPr>
                <w:rFonts w:hint="eastAsia" w:ascii="仿宋" w:hAnsi="仿宋" w:eastAsia="仿宋" w:cs="仿宋"/>
                <w:b w:val="0"/>
                <w:i w:val="0"/>
                <w:color w:val="000000"/>
                <w:sz w:val="21"/>
                <w:szCs w:val="21"/>
                <w:u w:val="none"/>
                <w:lang w:eastAsia="zh-CN"/>
              </w:rPr>
              <w:t>租赁费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0.7万元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0.7万元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b w:val="0"/>
                <w:i w:val="0"/>
                <w:color w:val="000000"/>
                <w:sz w:val="21"/>
                <w:szCs w:val="21"/>
                <w:u w:val="none"/>
                <w:lang w:eastAsia="zh-CN"/>
              </w:rPr>
            </w:pPr>
            <w:r>
              <w:rPr>
                <w:rFonts w:hint="eastAsia" w:ascii="仿宋" w:hAnsi="仿宋" w:eastAsia="仿宋" w:cs="仿宋"/>
                <w:b w:val="0"/>
                <w:i w:val="0"/>
                <w:color w:val="000000"/>
                <w:sz w:val="21"/>
                <w:szCs w:val="21"/>
                <w:u w:val="none"/>
                <w:lang w:eastAsia="zh-CN"/>
              </w:rPr>
              <w:t>专用材料费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22.5万元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22.5万元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b w:val="0"/>
                <w:i w:val="0"/>
                <w:color w:val="000000"/>
                <w:sz w:val="21"/>
                <w:szCs w:val="21"/>
                <w:u w:val="none"/>
                <w:lang w:eastAsia="zh-CN"/>
              </w:rPr>
            </w:pPr>
            <w:r>
              <w:rPr>
                <w:rFonts w:hint="eastAsia" w:ascii="仿宋" w:hAnsi="仿宋" w:eastAsia="仿宋" w:cs="仿宋"/>
                <w:b w:val="0"/>
                <w:i w:val="0"/>
                <w:color w:val="000000"/>
                <w:sz w:val="21"/>
                <w:szCs w:val="21"/>
                <w:u w:val="none"/>
                <w:lang w:eastAsia="zh-CN"/>
              </w:rPr>
              <w:t>劳务费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40.6万元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40.6万元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b w:val="0"/>
                <w:i w:val="0"/>
                <w:color w:val="000000"/>
                <w:sz w:val="21"/>
                <w:szCs w:val="21"/>
                <w:u w:val="none"/>
                <w:lang w:eastAsia="zh-CN"/>
              </w:rPr>
            </w:pPr>
            <w:r>
              <w:rPr>
                <w:rFonts w:hint="eastAsia" w:ascii="仿宋" w:hAnsi="仿宋" w:eastAsia="仿宋" w:cs="仿宋"/>
                <w:b w:val="0"/>
                <w:i w:val="0"/>
                <w:color w:val="000000"/>
                <w:sz w:val="21"/>
                <w:szCs w:val="21"/>
                <w:u w:val="none"/>
                <w:lang w:eastAsia="zh-CN"/>
              </w:rPr>
              <w:t>委托业务费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1万元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公车维护费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1.5万元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1.5万元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培训费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1.5万元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1.5万元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公务接待</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1.8万元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1.8万元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维修（维护）费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9.5万元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9.5万元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其他商品和服务支出</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28.9万元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28.9万元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工资津补贴</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599.4万元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599.4万元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养老保险</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98.7万元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98.7万元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行政单位医疗</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46万元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46万元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住房公积金</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109.3万元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109.3万元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专项经费</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279.5万元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279.5万元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生活补助</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68.1万元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68.1万元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医疗费补助</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0.5万元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0.5万元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autoSpaceDN w:val="0"/>
              <w:jc w:val="left"/>
              <w:textAlignment w:val="center"/>
              <w:rPr>
                <w:rFonts w:hint="eastAsia" w:ascii="仿宋" w:hAnsi="仿宋" w:eastAsia="仿宋" w:cs="仿宋"/>
                <w:sz w:val="21"/>
                <w:szCs w:val="21"/>
              </w:rPr>
            </w:pPr>
            <w:r>
              <w:rPr>
                <w:rFonts w:hint="eastAsia" w:ascii="仿宋" w:hAnsi="仿宋" w:eastAsia="仿宋" w:cs="仿宋"/>
                <w:b w:val="0"/>
                <w:i w:val="0"/>
                <w:color w:val="000000"/>
                <w:sz w:val="21"/>
                <w:szCs w:val="21"/>
                <w:u w:val="none"/>
                <w:lang w:eastAsia="zh-CN"/>
              </w:rPr>
              <w:t>奖励金</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286.5万元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286.5万元</w:t>
            </w:r>
          </w:p>
        </w:tc>
        <w:tc>
          <w:tcPr>
            <w:tcW w:w="82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spacing w:line="240" w:lineRule="exact"/>
              <w:jc w:val="left"/>
              <w:rPr>
                <w:rFonts w:hint="eastAsia" w:ascii="仿宋" w:hAnsi="仿宋" w:eastAsia="仿宋" w:cs="仿宋"/>
                <w:sz w:val="20"/>
                <w:szCs w:val="20"/>
                <w:lang w:eastAsia="zh-CN"/>
              </w:rPr>
            </w:pPr>
            <w:r>
              <w:rPr>
                <w:rFonts w:hint="eastAsia" w:ascii="仿宋" w:hAnsi="仿宋" w:eastAsia="仿宋" w:cs="仿宋"/>
                <w:sz w:val="20"/>
                <w:szCs w:val="20"/>
                <w:lang w:eastAsia="zh-CN"/>
              </w:rPr>
              <w:t>绩效工资</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141.3万元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141.3万元</w:t>
            </w:r>
          </w:p>
        </w:tc>
        <w:tc>
          <w:tcPr>
            <w:tcW w:w="82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spacing w:line="240" w:lineRule="exact"/>
              <w:jc w:val="left"/>
              <w:rPr>
                <w:rFonts w:hint="eastAsia" w:ascii="仿宋" w:hAnsi="仿宋" w:eastAsia="仿宋" w:cs="仿宋"/>
                <w:sz w:val="20"/>
                <w:szCs w:val="20"/>
                <w:lang w:eastAsia="zh-CN"/>
              </w:rPr>
            </w:pPr>
            <w:r>
              <w:rPr>
                <w:rFonts w:hint="eastAsia" w:ascii="仿宋" w:hAnsi="仿宋" w:eastAsia="仿宋" w:cs="仿宋"/>
                <w:sz w:val="20"/>
                <w:szCs w:val="20"/>
                <w:lang w:eastAsia="zh-CN"/>
              </w:rPr>
              <w:t>抚恤金</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129.4万元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129.4万元</w:t>
            </w:r>
          </w:p>
        </w:tc>
        <w:tc>
          <w:tcPr>
            <w:tcW w:w="82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其他对个人和家庭补助</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2.1万元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2.1万元</w:t>
            </w:r>
          </w:p>
        </w:tc>
        <w:tc>
          <w:tcPr>
            <w:tcW w:w="82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其他工资福利支出</w:t>
            </w: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8万元</w:t>
            </w:r>
          </w:p>
        </w:tc>
        <w:tc>
          <w:tcPr>
            <w:tcW w:w="1635"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8万元</w:t>
            </w:r>
          </w:p>
        </w:tc>
        <w:tc>
          <w:tcPr>
            <w:tcW w:w="82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55" w:type="dxa"/>
            <w:tcBorders>
              <w:top w:val="nil"/>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w:t>
            </w: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罚没收入</w:t>
            </w:r>
          </w:p>
        </w:tc>
        <w:tc>
          <w:tcPr>
            <w:tcW w:w="1487" w:type="dxa"/>
            <w:tcBorders>
              <w:top w:val="single" w:color="000000" w:sz="4" w:space="0"/>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130</w:t>
            </w:r>
          </w:p>
        </w:tc>
        <w:tc>
          <w:tcPr>
            <w:tcW w:w="1635" w:type="dxa"/>
            <w:tcBorders>
              <w:top w:val="single" w:color="000000"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264</w:t>
            </w:r>
          </w:p>
        </w:tc>
        <w:tc>
          <w:tcPr>
            <w:tcW w:w="825"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w:t>
            </w:r>
          </w:p>
        </w:tc>
        <w:tc>
          <w:tcPr>
            <w:tcW w:w="1455" w:type="dxa"/>
            <w:tcBorders>
              <w:top w:val="single" w:color="000000" w:sz="4" w:space="0"/>
              <w:left w:val="nil"/>
              <w:bottom w:val="single" w:color="000000" w:sz="4" w:space="0"/>
              <w:right w:val="single" w:color="auto" w:sz="4" w:space="0"/>
            </w:tcBorders>
            <w:textDirection w:val="lrTb"/>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w:t>
            </w:r>
          </w:p>
        </w:tc>
        <w:tc>
          <w:tcPr>
            <w:tcW w:w="1073"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5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机关运行保障水平</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提升</w:t>
            </w:r>
          </w:p>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提升</w:t>
            </w:r>
          </w:p>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w:t>
            </w: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75"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2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生态效益指标</w:t>
            </w: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无</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6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可持续影响指标</w:t>
            </w:r>
          </w:p>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无</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53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658"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干部职工满意度</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90%</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668" w:hRule="atLeast"/>
          <w:jc w:val="center"/>
        </w:trPr>
        <w:tc>
          <w:tcPr>
            <w:tcW w:w="716" w:type="dxa"/>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受益对象满意度</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95%</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95%</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94</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bl>
    <w:p>
      <w:pPr>
        <w:spacing w:line="300" w:lineRule="exact"/>
        <w:jc w:val="center"/>
        <w:rPr>
          <w:rFonts w:hint="eastAsia" w:ascii="仿宋" w:hAnsi="仿宋" w:eastAsia="仿宋" w:cs="仿宋"/>
          <w:sz w:val="44"/>
        </w:rPr>
      </w:pP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color="080000" w:fill="FFFFFF"/>
        </w:rPr>
      </w:pP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说明：1.分值设定100分，其中预算执行率10分、产出指标50分、效益指标30分、满意度指标10分。除预算执行率外的指标应根据权重自行合理设定分值。</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color="080000" w:fill="FFFFFF"/>
        </w:rPr>
        <w:t>     </w:t>
      </w:r>
      <w:r>
        <w:rPr>
          <w:rFonts w:hint="eastAsia" w:ascii="仿宋_GB2312" w:eastAsia="仿宋_GB2312" w:cs="仿宋_GB2312"/>
          <w:i w:val="0"/>
          <w:iCs w:val="0"/>
          <w:caps w:val="0"/>
          <w:color w:val="000000"/>
          <w:spacing w:val="0"/>
          <w:sz w:val="24"/>
          <w:szCs w:val="24"/>
          <w:shd w:val="clear" w:color="080000" w:fill="FFFFFF"/>
          <w:lang w:val="en-US" w:eastAsia="zh-CN"/>
        </w:rPr>
        <w:t xml:space="preserve">  </w:t>
      </w:r>
      <w:r>
        <w:rPr>
          <w:rFonts w:hint="default" w:ascii="仿宋_GB2312" w:eastAsia="仿宋_GB2312" w:cs="仿宋_GB2312"/>
          <w:i w:val="0"/>
          <w:iCs w:val="0"/>
          <w:caps w:val="0"/>
          <w:color w:val="000000"/>
          <w:spacing w:val="0"/>
          <w:sz w:val="24"/>
          <w:szCs w:val="24"/>
          <w:shd w:val="clear" w:color="080000" w:fill="FFFFFF"/>
        </w:rPr>
        <w:t>2.综合评价等级分为优秀（</w:t>
      </w:r>
      <w:r>
        <w:rPr>
          <w:rFonts w:hint="eastAsia" w:ascii="仿宋_GB2312" w:eastAsia="仿宋_GB2312" w:cs="仿宋_GB2312"/>
          <w:i w:val="0"/>
          <w:iCs w:val="0"/>
          <w:caps w:val="0"/>
          <w:color w:val="000000"/>
          <w:spacing w:val="0"/>
          <w:sz w:val="24"/>
          <w:szCs w:val="24"/>
          <w:shd w:val="clear" w:color="080000" w:fill="FFFFFF"/>
          <w:lang w:val="en-US" w:eastAsia="zh-CN"/>
        </w:rPr>
        <w:t>大于</w:t>
      </w:r>
      <w:r>
        <w:rPr>
          <w:rFonts w:hint="default" w:ascii="仿宋_GB2312" w:eastAsia="仿宋_GB2312" w:cs="仿宋_GB2312"/>
          <w:i w:val="0"/>
          <w:iCs w:val="0"/>
          <w:caps w:val="0"/>
          <w:color w:val="000000"/>
          <w:spacing w:val="0"/>
          <w:sz w:val="24"/>
          <w:szCs w:val="24"/>
          <w:shd w:val="clear" w:color="080000" w:fill="FFFFFF"/>
        </w:rPr>
        <w:t>90</w:t>
      </w:r>
      <w:r>
        <w:rPr>
          <w:rFonts w:hint="eastAsia" w:ascii="仿宋_GB2312" w:eastAsia="仿宋_GB2312" w:cs="仿宋_GB2312"/>
          <w:i w:val="0"/>
          <w:iCs w:val="0"/>
          <w:caps w:val="0"/>
          <w:color w:val="000000"/>
          <w:spacing w:val="0"/>
          <w:sz w:val="24"/>
          <w:szCs w:val="24"/>
          <w:shd w:val="clear" w:color="080000" w:fill="FFFFFF"/>
          <w:lang w:val="en-US" w:eastAsia="zh-CN"/>
        </w:rPr>
        <w:t>分</w:t>
      </w:r>
      <w:r>
        <w:rPr>
          <w:rFonts w:hint="default" w:ascii="仿宋_GB2312" w:eastAsia="仿宋_GB2312" w:cs="仿宋_GB2312"/>
          <w:i w:val="0"/>
          <w:iCs w:val="0"/>
          <w:caps w:val="0"/>
          <w:color w:val="000000"/>
          <w:spacing w:val="0"/>
          <w:sz w:val="24"/>
          <w:szCs w:val="24"/>
          <w:shd w:val="clear" w:color="080000" w:fill="FFFFFF"/>
        </w:rPr>
        <w:t>）、良好（</w:t>
      </w:r>
      <w:r>
        <w:rPr>
          <w:rFonts w:hint="eastAsia" w:ascii="仿宋_GB2312" w:eastAsia="仿宋_GB2312" w:cs="仿宋_GB2312"/>
          <w:i w:val="0"/>
          <w:iCs w:val="0"/>
          <w:caps w:val="0"/>
          <w:color w:val="000000"/>
          <w:spacing w:val="0"/>
          <w:sz w:val="24"/>
          <w:szCs w:val="24"/>
          <w:shd w:val="clear" w:color="080000" w:fill="FFFFFF"/>
          <w:lang w:val="en-US" w:eastAsia="zh-CN"/>
        </w:rPr>
        <w:t>80-90分</w:t>
      </w:r>
      <w:r>
        <w:rPr>
          <w:rFonts w:hint="default" w:ascii="仿宋_GB2312" w:eastAsia="仿宋_GB2312" w:cs="仿宋_GB2312"/>
          <w:i w:val="0"/>
          <w:iCs w:val="0"/>
          <w:caps w:val="0"/>
          <w:color w:val="000000"/>
          <w:spacing w:val="0"/>
          <w:sz w:val="24"/>
          <w:szCs w:val="24"/>
          <w:shd w:val="clear" w:color="080000" w:fill="FFFFFF"/>
        </w:rPr>
        <w:t>）、较差（</w:t>
      </w:r>
      <w:r>
        <w:rPr>
          <w:rFonts w:hint="eastAsia" w:ascii="仿宋_GB2312" w:eastAsia="仿宋_GB2312" w:cs="仿宋_GB2312"/>
          <w:i w:val="0"/>
          <w:iCs w:val="0"/>
          <w:caps w:val="0"/>
          <w:color w:val="000000"/>
          <w:spacing w:val="0"/>
          <w:sz w:val="24"/>
          <w:szCs w:val="24"/>
          <w:shd w:val="clear" w:color="080000" w:fill="FFFFFF"/>
          <w:lang w:val="en-US" w:eastAsia="zh-CN"/>
        </w:rPr>
        <w:t>60-80分</w:t>
      </w:r>
      <w:r>
        <w:rPr>
          <w:rFonts w:hint="default" w:ascii="仿宋_GB2312" w:eastAsia="仿宋_GB2312" w:cs="仿宋_GB2312"/>
          <w:i w:val="0"/>
          <w:iCs w:val="0"/>
          <w:caps w:val="0"/>
          <w:color w:val="000000"/>
          <w:spacing w:val="0"/>
          <w:sz w:val="24"/>
          <w:szCs w:val="24"/>
          <w:shd w:val="clear" w:color="080000" w:fill="FFFFFF"/>
        </w:rPr>
        <w:t>）、 差（</w:t>
      </w:r>
      <w:r>
        <w:rPr>
          <w:rFonts w:hint="eastAsia" w:ascii="仿宋_GB2312" w:eastAsia="仿宋_GB2312" w:cs="仿宋_GB2312"/>
          <w:i w:val="0"/>
          <w:iCs w:val="0"/>
          <w:caps w:val="0"/>
          <w:color w:val="000000"/>
          <w:spacing w:val="0"/>
          <w:sz w:val="24"/>
          <w:szCs w:val="24"/>
          <w:shd w:val="clear" w:color="080000" w:fill="FFFFFF"/>
          <w:lang w:val="en-US" w:eastAsia="zh-CN"/>
        </w:rPr>
        <w:t>小于60分</w:t>
      </w:r>
      <w:r>
        <w:rPr>
          <w:rFonts w:hint="default" w:ascii="仿宋_GB2312" w:eastAsia="仿宋_GB2312" w:cs="仿宋_GB2312"/>
          <w:i w:val="0"/>
          <w:iCs w:val="0"/>
          <w:caps w:val="0"/>
          <w:color w:val="000000"/>
          <w:spacing w:val="0"/>
          <w:sz w:val="24"/>
          <w:szCs w:val="24"/>
          <w:shd w:val="clear" w:color="080000" w:fill="FFFFFF"/>
        </w:rPr>
        <w:t>）</w:t>
      </w:r>
      <w:r>
        <w:rPr>
          <w:rFonts w:ascii="Calibri" w:hAnsi="Calibri" w:eastAsia="仿宋_GB2312" w:cs="Calibri"/>
          <w:i w:val="0"/>
          <w:iCs w:val="0"/>
          <w:caps w:val="0"/>
          <w:color w:val="000000"/>
          <w:spacing w:val="0"/>
          <w:sz w:val="24"/>
          <w:szCs w:val="24"/>
          <w:shd w:val="clear" w:color="080000" w:fill="FFFFFF"/>
        </w:rPr>
        <w:t>。</w:t>
      </w:r>
    </w:p>
    <w:p>
      <w:pPr>
        <w:pStyle w:val="4"/>
        <w:widowControl/>
        <w:shd w:val="clear" w:color="auto" w:fill="FFFFFF"/>
        <w:spacing w:before="62" w:beforeAutospacing="0" w:afterAutospacing="0" w:line="480" w:lineRule="atLeast"/>
        <w:jc w:val="both"/>
        <w:rPr>
          <w:color w:val="000000"/>
        </w:rPr>
      </w:pPr>
      <w:r>
        <w:rPr>
          <w:rFonts w:hint="default" w:ascii="仿宋_GB2312" w:eastAsia="仿宋_GB2312" w:cs="仿宋_GB2312"/>
          <w:i w:val="0"/>
          <w:iCs w:val="0"/>
          <w:caps w:val="0"/>
          <w:color w:val="000000"/>
          <w:spacing w:val="0"/>
          <w:sz w:val="24"/>
          <w:szCs w:val="24"/>
          <w:shd w:val="clear" w:color="080000" w:fill="FFFFFF"/>
        </w:rPr>
        <w:t>     </w:t>
      </w:r>
      <w:r>
        <w:rPr>
          <w:rFonts w:hint="eastAsia" w:ascii="仿宋_GB2312" w:eastAsia="仿宋_GB2312" w:cs="仿宋_GB2312"/>
          <w:i w:val="0"/>
          <w:iCs w:val="0"/>
          <w:caps w:val="0"/>
          <w:color w:val="000000"/>
          <w:spacing w:val="0"/>
          <w:sz w:val="24"/>
          <w:szCs w:val="24"/>
          <w:shd w:val="clear" w:color="080000" w:fill="FFFFFF"/>
          <w:lang w:val="en-US" w:eastAsia="zh-CN"/>
        </w:rPr>
        <w:t xml:space="preserve">  </w:t>
      </w:r>
      <w:r>
        <w:rPr>
          <w:rFonts w:hint="default" w:ascii="仿宋_GB2312" w:eastAsia="仿宋_GB2312" w:cs="仿宋_GB2312"/>
          <w:i w:val="0"/>
          <w:iCs w:val="0"/>
          <w:caps w:val="0"/>
          <w:color w:val="000000"/>
          <w:spacing w:val="0"/>
          <w:sz w:val="24"/>
          <w:szCs w:val="24"/>
          <w:shd w:val="clear" w:color="080000" w:fill="FFFFFF"/>
        </w:rPr>
        <w:t>3.三级绩效指标按需自行增减行。个别不涉及的二级指标可删除不要。</w:t>
      </w: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pPr>
        <w:pStyle w:val="4"/>
        <w:widowControl/>
        <w:shd w:val="clear" w:color="auto" w:fill="FFFFFF"/>
        <w:spacing w:beforeAutospacing="0" w:afterAutospacing="0" w:line="480" w:lineRule="atLeast"/>
        <w:jc w:val="both"/>
        <w:rPr>
          <w:rFonts w:ascii="黑体" w:hAnsi="黑体" w:eastAsia="黑体" w:cs="黑体"/>
          <w:color w:val="000000"/>
          <w:sz w:val="32"/>
          <w:szCs w:val="32"/>
          <w:shd w:val="clear" w:color="auto" w:fill="FFFFFF"/>
        </w:rPr>
      </w:pP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DengXian Western">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Bookshelf Symbol 7">
    <w:altName w:val="Symbol"/>
    <w:panose1 w:val="05010101010101010101"/>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Utsaah">
    <w:panose1 w:val="020B0604020202020204"/>
    <w:charset w:val="00"/>
    <w:family w:val="auto"/>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2930922">
    <w:nsid w:val="64E8136A"/>
    <w:multiLevelType w:val="singleLevel"/>
    <w:tmpl w:val="64E8136A"/>
    <w:lvl w:ilvl="0" w:tentative="1">
      <w:start w:val="5"/>
      <w:numFmt w:val="chineseCounting"/>
      <w:suff w:val="nothing"/>
      <w:lvlText w:val="（%1）"/>
      <w:lvlJc w:val="left"/>
    </w:lvl>
  </w:abstractNum>
  <w:abstractNum w:abstractNumId="1842797799">
    <w:nsid w:val="6DD6DCE7"/>
    <w:multiLevelType w:val="singleLevel"/>
    <w:tmpl w:val="6DD6DCE7"/>
    <w:lvl w:ilvl="0" w:tentative="1">
      <w:start w:val="4"/>
      <w:numFmt w:val="chineseCounting"/>
      <w:suff w:val="nothing"/>
      <w:lvlText w:val="%1、"/>
      <w:lvlJc w:val="left"/>
      <w:rPr>
        <w:rFonts w:hint="eastAsia"/>
      </w:rPr>
    </w:lvl>
  </w:abstractNum>
  <w:abstractNum w:abstractNumId="3650963973">
    <w:nsid w:val="D99D4A05"/>
    <w:multiLevelType w:val="singleLevel"/>
    <w:tmpl w:val="D99D4A05"/>
    <w:lvl w:ilvl="0" w:tentative="1">
      <w:start w:val="1"/>
      <w:numFmt w:val="chineseCounting"/>
      <w:suff w:val="nothing"/>
      <w:lvlText w:val="（%1）"/>
      <w:lvlJc w:val="left"/>
      <w:rPr>
        <w:rFonts w:hint="eastAsia" w:ascii="楷体" w:hAnsi="楷体" w:eastAsia="楷体" w:cs="楷体"/>
        <w:b/>
        <w:bCs/>
        <w:sz w:val="32"/>
        <w:szCs w:val="32"/>
      </w:rPr>
    </w:lvl>
  </w:abstractNum>
  <w:num w:numId="1">
    <w:abstractNumId w:val="1842797799"/>
  </w:num>
  <w:num w:numId="2">
    <w:abstractNumId w:val="3650963973"/>
  </w:num>
  <w:num w:numId="3">
    <w:abstractNumId w:val="16929309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Autospacing="1" w:afterAutospacing="1"/>
      <w:jc w:val="left"/>
    </w:pPr>
    <w:rPr>
      <w:kern w:val="0"/>
      <w:sz w:val="24"/>
    </w:rPr>
  </w:style>
  <w:style w:type="character" w:styleId="6">
    <w:name w:val="page number"/>
    <w:basedOn w:val="5"/>
    <w:semiHidden/>
    <w:unhideWhenUsed/>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Words>
  <Characters>2002</Characters>
  <Lines>16</Lines>
  <Paragraphs>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2023-08-22T02:49:00Z</dcterms:created>
  <dc:creator>Administrator</dc:creator>
  <cp:lastModifiedBy>绥宁县政府</cp:lastModifiedBy>
  <dcterms:modified xsi:type="dcterms:W3CDTF">2023-09-07T08:45:39Z</dcterms:modified>
  <dc:title>绥宁县市场监督管理局2022年度部门整体支出绩效自评报告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