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  <w:lang w:eastAsia="zh-CN"/>
        </w:rPr>
        <w:t>图书馆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2022年度部门整体支出绩效自评报告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部门对部门整体支出情况实施了绩效自评，现将自评情况报告如下：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(1)、保存人类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"http://www.so.com/s?q=%E6%96%87%E5%8C%96%E9%81%97%E4%BA%A7&amp;ie=utf-8&amp;src=internal_wenda_recommend_textn"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文化遗产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。图书馆的产生是保存人类文化遗产的需要。因为有了图书馆，人类的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"http://www.so.com/s?q=%E7%A4%BE%E4%BC%9A%E5%AE%9E%E8%B7%B5&amp;ie=utf-8&amp;src=internal_wenda_recommend_textn"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社会实践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所取得的经验、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"http://www.so.com/s?q=%E6%96%87%E5%8C%96&amp;ie=utf-8&amp;src=internal_wenda_recommend_textn"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文化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 xml:space="preserve">、知识才得以系统地保存并流传下来，成为今天人类宝贵的文化遗产和精神财富。 </w:t>
      </w:r>
      <w:r>
        <w:rPr>
          <w:rFonts w:hint="eastAsia" w:ascii="仿宋" w:hAnsi="仿宋" w:eastAsia="仿宋"/>
          <w:sz w:val="32"/>
        </w:rPr>
        <w:br/>
      </w:r>
      <w:r>
        <w:rPr>
          <w:rFonts w:hint="eastAsia" w:ascii="仿宋" w:hAnsi="仿宋" w:eastAsia="仿宋"/>
          <w:sz w:val="32"/>
        </w:rPr>
        <w:t xml:space="preserve">   (2)、开展社会教育。近代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"http://www.so.com/s?q=%E5%A4%A7%E5%B7%A5%E4%B8%9A&amp;ie=utf-8&amp;src=internal_wenda_recommend_textn"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大工业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的产生要求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"http://www.so.com/s?q=%E7%A4%BE%E4%BC%9A%E4%BA%BA&amp;ie=utf-8&amp;src=internal_wenda_recommend_textn"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社会人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有较多的劳动知识和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"http://www.so.com/s?q=%E5%8A%B3%E5%8A%A8%E6%8A%80%E8%83%BD&amp;ie=utf-8&amp;src=internal_wenda_recommend_textn"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劳动技能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，图书馆从而真正走入平民百姓当中，担负起了对人的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"http://www.so.com/s?q=%E7%A7%91%E5%AD%A6%E7%9F%A5%E8%AF%86&amp;ie=utf-8&amp;src=internal_wenda_recommend_textn"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科学知识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文化教育的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"http://www.so.com/s?q=%E4%BB%BB%E5%8A%A1&amp;ie=utf-8&amp;src=internal_wenda_recommend_textn"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任务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。现代社会，图书馆成为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"http://www.so.com/s?q=%E7%BB%A7%E7%BB%AD%E6%95%99%E8%82%B2&amp;ie=utf-8&amp;src=internal_wenda_recommend_textn"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继续教育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、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"http://www.so.com/s?q=%E7%BB%88%E8%BA%AB%E6%95%99%E8%82%B2&amp;ie=utf-8&amp;src=internal_wenda_recommend_textn"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终身教育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的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"http://www.so.com/s?q=%E5%9F%BA%E5%9C%B0&amp;ie=utf-8&amp;src=internal_wenda_recommend_textn"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基地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，担负了更多的教育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"http://www.so.com/s?q=%E8%81%8C%E8%83%BD&amp;ie=utf-8&amp;src=internal_wenda_recommend_textn"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职能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 xml:space="preserve">。 </w:t>
      </w:r>
      <w:r>
        <w:rPr>
          <w:rFonts w:hint="eastAsia" w:ascii="仿宋" w:hAnsi="仿宋" w:eastAsia="仿宋"/>
          <w:sz w:val="32"/>
        </w:rPr>
        <w:br/>
      </w:r>
      <w:r>
        <w:rPr>
          <w:rFonts w:hint="eastAsia" w:ascii="仿宋" w:hAnsi="仿宋" w:eastAsia="仿宋"/>
          <w:sz w:val="32"/>
        </w:rPr>
        <w:t xml:space="preserve">   (3)、传递科学情报。传递科学情报是现代图书馆的一个重要职能。图书馆丰富、系统、全面的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"http://www.so.com/s?q=%E5%9B%BE%E4%B9%A6&amp;ie=utf-8&amp;src=internal_wenda_recommend_textn"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图书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信息资料，成为图书馆从事科学情报传递工作的物质条件。在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"http://www.so.com/s?q=%E4%BF%A1%E6%81%AF%E7%A4%BE%E4%BC%9A&amp;ie=utf-8&amp;src=internal_wenda_recommend_textn"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信息社会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 xml:space="preserve">，图书馆的科学情报功能将得到加强。 </w:t>
      </w:r>
      <w:r>
        <w:rPr>
          <w:rFonts w:hint="eastAsia" w:ascii="仿宋" w:hAnsi="仿宋" w:eastAsia="仿宋"/>
          <w:sz w:val="32"/>
        </w:rPr>
        <w:br/>
      </w:r>
      <w:r>
        <w:rPr>
          <w:rFonts w:hint="eastAsia" w:ascii="仿宋" w:hAnsi="仿宋" w:eastAsia="仿宋"/>
          <w:sz w:val="32"/>
        </w:rPr>
        <w:t xml:space="preserve">   (4)、开发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"http://www.so.com/s?q=%E6%99%BA%E5%8A%9B%E8%B5%84%E6%BA%90&amp;ie=utf-8&amp;src=internal_wenda_recommend_textn"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智力资源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。图书馆收藏的图书资料是人类长期积累的一种智力资源，图书馆对这些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"http://www.so.com/s?q=%E8%B5%84%E6%BA%90&amp;ie=utf-8&amp;src=internal_wenda_recommend_textn"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资源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的加工、处理是对这种智力资源的开发。同时图书馆将这些图书资料提供利用，是开发图书馆用户的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"http://www.so.com/s?q=%E8%84%91%E5%8A%9B%E8%B5%84%E6%BA%90&amp;ie=utf-8&amp;src=internal_wenda_recommend_textn"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脑力资源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。换言之，图书馆承担有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"http://www.so.com/s?q=%E4%BA%BA%E6%89%8D%E5%9F%B9%E5%85%BB&amp;ie=utf-8&amp;src=internal_wenda_recommend_textn"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人才培养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 xml:space="preserve">的职能。 </w:t>
      </w:r>
      <w:r>
        <w:rPr>
          <w:rFonts w:hint="eastAsia" w:ascii="仿宋" w:hAnsi="仿宋" w:eastAsia="仿宋"/>
          <w:sz w:val="32"/>
        </w:rPr>
        <w:br/>
      </w:r>
      <w:r>
        <w:rPr>
          <w:rFonts w:hint="eastAsia" w:ascii="仿宋" w:hAnsi="仿宋" w:eastAsia="仿宋"/>
          <w:sz w:val="32"/>
        </w:rPr>
        <w:t xml:space="preserve">   (5)、提供文化娱乐。图书馆提供的服务满足了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"http://www.so.com/s?q=%E7%A4%BE%E4%BC%9A&amp;ie=utf-8&amp;src=internal_wenda_recommend_textn"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社会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对文化娱乐的需要，丰富和活跃了人民群众的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"http://www.so.com/s?q=%E6%96%87%E5%8C%96%E7%94%9F%E6%B4%BB&amp;ie=utf-8&amp;src=internal_wenda_recommend_textn"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文化生活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，在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"http://www.so.com/s?q=%E7%B2%BE%E7%A5%9E%E6%96%87%E6%98%8E%E5%BB%BA%E8%AE%BE&amp;ie=utf-8&amp;src=internal_wenda_recommend_textn" \t "https://wenda.so.com/q/_blank"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精神文明建设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当中起到了不可或缺的作用。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2022年末，我部门内设股室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个。内设股室分别是：</w:t>
      </w:r>
      <w:r>
        <w:rPr>
          <w:rFonts w:hint="eastAsia" w:ascii="仿宋" w:hAnsi="仿宋" w:eastAsia="仿宋"/>
          <w:sz w:val="32"/>
        </w:rPr>
        <w:t>办公室、文献借阅部、报刊阅览室、电子阅览室、采编室。</w:t>
      </w:r>
    </w:p>
    <w:p>
      <w:pPr>
        <w:pStyle w:val="5"/>
        <w:shd w:val="clear" w:color="auto" w:fill="FFFFFF"/>
        <w:spacing w:beforeAutospacing="0" w:afterAutospacing="0" w:line="480" w:lineRule="atLeast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>
      <w:pPr>
        <w:pStyle w:val="5"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年末，我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共有编制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人，其中事业编制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年末实有在职人员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，退休人员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6人。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130.43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94.35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</w:t>
      </w:r>
      <w:r>
        <w:rPr>
          <w:rFonts w:hint="eastAsia" w:eastAsia="仿宋_GB2312"/>
          <w:color w:val="0C0C0C"/>
          <w:sz w:val="32"/>
          <w:szCs w:val="32"/>
          <w:lang w:eastAsia="zh-CN"/>
        </w:rPr>
        <w:t>公用</w:t>
      </w:r>
      <w:r>
        <w:rPr>
          <w:rFonts w:eastAsia="仿宋_GB2312"/>
          <w:color w:val="0C0C0C"/>
          <w:sz w:val="32"/>
          <w:szCs w:val="32"/>
        </w:rPr>
        <w:t>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36.08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94.35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36.08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2022年项目支出共计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29.75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万元，其中业务工作经费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万元，运行维护经费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万元，专项资金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29.75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29.75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2021年中央支持地方公共文化服务体系建设（一般项目）补助资金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专项资金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29.75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</w:t>
      </w:r>
      <w:r>
        <w:rPr>
          <w:rFonts w:ascii="仿宋" w:hAnsi="仿宋" w:eastAsia="仿宋" w:cs="仿宋"/>
          <w:color w:val="0C0C0C"/>
          <w:sz w:val="32"/>
          <w:szCs w:val="32"/>
        </w:rPr>
        <w:t>主要用于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绥宁县图书馆爱国主义红色阅览室建设项目</w:t>
      </w:r>
      <w:r>
        <w:rPr>
          <w:rFonts w:ascii="仿宋" w:hAnsi="仿宋" w:eastAsia="仿宋" w:cs="仿宋"/>
          <w:color w:val="0C0C0C"/>
          <w:sz w:val="32"/>
          <w:szCs w:val="32"/>
        </w:rPr>
        <w:t>等方面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三、政府性基金预算支出情况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2年度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无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政府性基金预算支出。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国有资本经营预算支出。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社会保险基金预算支出。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仿宋" w:hAnsi="仿宋" w:eastAsia="仿宋" w:cs="仿宋"/>
          <w:color w:val="0C0C0C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2022年，在县委、县政府的领导下，坚持依法行政、执法为民，稳中求进，改革创新，积极作为，突出抓改革强监管促发展，各方面工作稳步推进。根据部门整体支出绩效自评评分（详见附件2），得分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分，部门整体支出绩效为“良”。主要绩效如下：</w:t>
      </w:r>
    </w:p>
    <w:p>
      <w:pPr>
        <w:widowControl/>
        <w:spacing w:line="560" w:lineRule="exact"/>
        <w:ind w:firstLine="750" w:firstLineChars="25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我馆根据上级部门指示要求，扎实开展防范新冠疫情工作。</w:t>
      </w:r>
    </w:p>
    <w:p>
      <w:pPr>
        <w:widowControl/>
        <w:spacing w:line="560" w:lineRule="exact"/>
        <w:ind w:firstLine="750" w:firstLineChars="250"/>
        <w:jc w:val="left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在文化广场举办“4.23世界读书日”，“图书宣传周”，“全国科普日”等图书宣传活动，宣传图书馆免费开放政策，促进全民阅读活动的广泛开展，激发全民阅读兴趣，营造书香氛围。</w:t>
      </w:r>
    </w:p>
    <w:p>
      <w:pPr>
        <w:widowControl/>
        <w:numPr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图书馆流动图书车到竹舟江村委会送书下乡读书活动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。</w:t>
      </w:r>
    </w:p>
    <w:p>
      <w:pPr>
        <w:widowControl/>
        <w:numPr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（四）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在长沙图书公司选购了近4000册热门新图书，现都已采编上架流通。</w:t>
      </w:r>
    </w:p>
    <w:p>
      <w:pPr>
        <w:widowControl/>
        <w:numPr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（五）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增加传统纸质书籍的同时，为满足读者对各类电子资源的需求，我馆通过招标新建了一个《红色教育阅览室》，可以电子查询资料，也可以查看纸质档图书，逐步实现数字图书馆资源建设。</w:t>
      </w:r>
    </w:p>
    <w:p>
      <w:pPr>
        <w:widowControl/>
        <w:numPr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（六）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积极开展推广阅读活动，多次送作文、名著、英语读物等进实验中学。</w:t>
      </w:r>
    </w:p>
    <w:p>
      <w:pPr>
        <w:widowControl/>
        <w:numPr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（七）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我馆工作人员下村对川石村、哨溪口村等农家书屋进行分类、上架等业务指导。</w:t>
      </w:r>
    </w:p>
    <w:p>
      <w:pPr>
        <w:widowControl/>
        <w:numPr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（八）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积极参加省市学习培训，刘文伟馆长多次赴省市学习培训，实现公共图书馆服务效能的提升。</w:t>
      </w:r>
    </w:p>
    <w:p>
      <w:pPr>
        <w:widowControl/>
        <w:numPr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（九）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图书馆免费开放日常工作顺利开展，馆内基础工作、业务工作稳中有升，服务质量迈上新台阶；图书馆免费开放日常工作顺利开展，馆内基础工作、业务工作稳中有升，服务质量迈上新台阶；图书馆按时完成上级布置的各项中心工作，及时完成公共服务科交办的各项工作任务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>
      <w:pPr>
        <w:autoSpaceDN w:val="0"/>
        <w:ind w:firstLine="640"/>
        <w:outlineLvl w:val="0"/>
        <w:rPr>
          <w:rFonts w:hint="eastAsia" w:ascii="仿宋" w:hAnsi="仿宋" w:eastAsia="仿宋"/>
          <w:color w:val="010101"/>
          <w:sz w:val="32"/>
          <w:szCs w:val="32"/>
          <w:lang w:eastAsia="zh-CN"/>
        </w:rPr>
      </w:pPr>
      <w:r>
        <w:rPr>
          <w:rFonts w:ascii="仿宋" w:hAnsi="仿宋" w:eastAsia="仿宋"/>
          <w:color w:val="010101"/>
          <w:sz w:val="32"/>
          <w:szCs w:val="32"/>
        </w:rPr>
        <w:t>（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一</w:t>
      </w:r>
      <w:r>
        <w:rPr>
          <w:rFonts w:ascii="仿宋" w:hAnsi="仿宋" w:eastAsia="仿宋"/>
          <w:color w:val="010101"/>
          <w:sz w:val="32"/>
          <w:szCs w:val="32"/>
        </w:rPr>
        <w:t>）预算执行</w:t>
      </w:r>
      <w:r>
        <w:rPr>
          <w:rFonts w:hint="eastAsia" w:ascii="仿宋" w:hAnsi="仿宋" w:eastAsia="仿宋"/>
          <w:color w:val="010101"/>
          <w:sz w:val="32"/>
          <w:szCs w:val="32"/>
        </w:rPr>
        <w:t>：</w:t>
      </w:r>
      <w:r>
        <w:rPr>
          <w:rFonts w:ascii="仿宋" w:hAnsi="仿宋" w:eastAsia="仿宋"/>
          <w:color w:val="01010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10101"/>
          <w:sz w:val="32"/>
          <w:szCs w:val="32"/>
        </w:rPr>
        <w:t>本单位的年初预算数和决算数据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有</w:t>
      </w:r>
      <w:r>
        <w:rPr>
          <w:rFonts w:hint="eastAsia" w:ascii="仿宋" w:hAnsi="仿宋" w:eastAsia="仿宋"/>
          <w:color w:val="010101"/>
          <w:sz w:val="32"/>
          <w:szCs w:val="32"/>
        </w:rPr>
        <w:t>差异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10101"/>
          <w:sz w:val="32"/>
          <w:szCs w:val="32"/>
        </w:rPr>
        <w:t>年初预算都是上年度第四季度进行，与下年度预算执行情况有差异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。</w:t>
      </w:r>
    </w:p>
    <w:p>
      <w:pPr>
        <w:autoSpaceDN w:val="0"/>
        <w:ind w:firstLine="640"/>
        <w:outlineLvl w:val="0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>（二）资产核算</w:t>
      </w:r>
      <w:r>
        <w:rPr>
          <w:rFonts w:hint="eastAsia" w:ascii="仿宋" w:hAnsi="仿宋" w:eastAsia="仿宋"/>
          <w:color w:val="010101"/>
          <w:sz w:val="32"/>
          <w:szCs w:val="32"/>
        </w:rPr>
        <w:t>：</w:t>
      </w:r>
      <w:r>
        <w:rPr>
          <w:rFonts w:ascii="仿宋" w:hAnsi="仿宋" w:eastAsia="仿宋"/>
          <w:color w:val="01010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10101"/>
          <w:sz w:val="32"/>
          <w:szCs w:val="32"/>
        </w:rPr>
        <w:t>本单位资产数额较少，存在重货币资产，轻固定资产的思想，资产系统中资产卡片与实物有差异。</w:t>
      </w:r>
    </w:p>
    <w:p>
      <w:pPr>
        <w:autoSpaceDN w:val="0"/>
        <w:ind w:firstLine="630"/>
        <w:outlineLvl w:val="0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 xml:space="preserve">（三）内部管理 </w:t>
      </w:r>
      <w:r>
        <w:rPr>
          <w:rFonts w:hint="eastAsia" w:ascii="仿宋" w:hAnsi="仿宋" w:eastAsia="仿宋"/>
          <w:color w:val="010101"/>
          <w:sz w:val="32"/>
          <w:szCs w:val="32"/>
        </w:rPr>
        <w:t>：本单位依据内部控制有关规定，制订了完整的内部控制制度，在执行中存在差异，如不相容岗位相分离存在缺陷，定期轮岗作得不够。</w:t>
      </w:r>
    </w:p>
    <w:p>
      <w:pPr>
        <w:autoSpaceDN w:val="0"/>
        <w:ind w:firstLine="640" w:firstLineChars="200"/>
        <w:outlineLvl w:val="0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>（四）经费保障</w:t>
      </w:r>
      <w:r>
        <w:rPr>
          <w:rFonts w:hint="eastAsia" w:ascii="仿宋" w:hAnsi="仿宋" w:eastAsia="仿宋"/>
          <w:color w:val="010101"/>
          <w:sz w:val="32"/>
          <w:szCs w:val="32"/>
        </w:rPr>
        <w:t>：</w:t>
      </w:r>
      <w:r>
        <w:rPr>
          <w:rFonts w:ascii="仿宋" w:hAnsi="仿宋" w:eastAsia="仿宋"/>
          <w:color w:val="01010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10101"/>
          <w:sz w:val="32"/>
          <w:szCs w:val="32"/>
        </w:rPr>
        <w:t>由于单位经费支出年初预算偏紧，本单位的收入基本上为财政拨款收入，经费保障不足。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>
      <w:pPr>
        <w:autoSpaceDN w:val="0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color w:val="010101"/>
          <w:sz w:val="32"/>
          <w:szCs w:val="32"/>
        </w:rPr>
        <w:t>（一）</w:t>
      </w:r>
      <w:r>
        <w:rPr>
          <w:rFonts w:hint="eastAsia" w:ascii="仿宋" w:hAnsi="仿宋" w:eastAsia="仿宋"/>
          <w:color w:val="010101"/>
          <w:sz w:val="32"/>
          <w:szCs w:val="32"/>
        </w:rPr>
        <w:t>建议一：</w:t>
      </w:r>
      <w:r>
        <w:rPr>
          <w:rFonts w:ascii="仿宋" w:hAnsi="仿宋" w:eastAsia="仿宋"/>
          <w:color w:val="01010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10101"/>
          <w:sz w:val="32"/>
          <w:szCs w:val="32"/>
        </w:rPr>
        <w:t>进一步加强预算管理，编制预算时充分考虑年度各种因素，使预算管理更系统，更全面。</w:t>
      </w:r>
    </w:p>
    <w:p>
      <w:pPr>
        <w:autoSpaceDN w:val="0"/>
        <w:rPr>
          <w:rFonts w:hint="eastAsia" w:ascii="仿宋" w:hAnsi="仿宋" w:eastAsia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>　</w:t>
      </w:r>
      <w:r>
        <w:rPr>
          <w:rFonts w:hint="eastAsia" w:ascii="仿宋" w:hAnsi="仿宋" w:eastAsia="仿宋"/>
          <w:color w:val="010101"/>
          <w:sz w:val="32"/>
          <w:szCs w:val="32"/>
        </w:rPr>
        <w:t xml:space="preserve">  </w:t>
      </w:r>
      <w:r>
        <w:rPr>
          <w:rFonts w:ascii="仿宋" w:hAnsi="仿宋" w:eastAsia="仿宋"/>
          <w:color w:val="010101"/>
          <w:sz w:val="32"/>
          <w:szCs w:val="32"/>
        </w:rPr>
        <w:t>（二）</w:t>
      </w:r>
      <w:r>
        <w:rPr>
          <w:rFonts w:hint="eastAsia" w:ascii="仿宋" w:hAnsi="仿宋" w:eastAsia="仿宋"/>
          <w:color w:val="010101"/>
          <w:sz w:val="32"/>
          <w:szCs w:val="32"/>
        </w:rPr>
        <w:t>建议二：加强资产管理，严格各各种领购手续，定期核对资产卡片，并进行每年一次的清产核资工作，作到账实、账账、账卡相符。</w:t>
      </w:r>
    </w:p>
    <w:p>
      <w:pPr>
        <w:autoSpaceDN w:val="0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>　　（三）</w:t>
      </w:r>
      <w:r>
        <w:rPr>
          <w:rFonts w:hint="eastAsia" w:ascii="仿宋" w:hAnsi="仿宋" w:eastAsia="仿宋"/>
          <w:color w:val="010101"/>
          <w:sz w:val="32"/>
          <w:szCs w:val="32"/>
        </w:rPr>
        <w:t>建议三：</w:t>
      </w:r>
      <w:r>
        <w:rPr>
          <w:rFonts w:hint="eastAsia" w:ascii="仿宋" w:hAnsi="仿宋" w:eastAsia="仿宋" w:cs="仿宋"/>
          <w:sz w:val="32"/>
          <w:szCs w:val="32"/>
        </w:rPr>
        <w:t>规范内控机制建设，形成有效的自我约束对单位履职过程中的各项业务进行梳理，通过组织结构图和业务流程图来明确关键控制岗位，确保不相容岗位相互分离，并实现岗位之间的制约和监督。</w:t>
      </w:r>
    </w:p>
    <w:p>
      <w:pPr>
        <w:autoSpaceDN w:val="0"/>
        <w:rPr>
          <w:rFonts w:ascii="仿宋" w:hAnsi="仿宋" w:eastAsia="仿宋"/>
          <w:color w:val="010101"/>
          <w:sz w:val="32"/>
          <w:szCs w:val="32"/>
        </w:rPr>
      </w:pPr>
      <w:r>
        <w:rPr>
          <w:rFonts w:ascii="仿宋" w:hAnsi="仿宋" w:eastAsia="仿宋"/>
          <w:color w:val="010101"/>
          <w:sz w:val="32"/>
          <w:szCs w:val="32"/>
        </w:rPr>
        <w:t>　　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附件：1.部门整体支出绩效评价基础数据表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1610" w:firstLineChars="503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2.部门整体支出绩效自评表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980" w:firstLineChars="350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2022年度部门整体支出绩效评价基础数据表</w:t>
      </w:r>
    </w:p>
    <w:p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W w:w="10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2.71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2.27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2.27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1.15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0.91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0.91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1.15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0.91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0.91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1.56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1.36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1.36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29.75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29.75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0C0C0C"/>
                <w:sz w:val="20"/>
                <w:szCs w:val="20"/>
                <w:lang w:val="en-US" w:eastAsia="zh-CN"/>
              </w:rPr>
              <w:t>2021年中央支持地方公共文化服务体系建设（一般项目）补助资金</w:t>
            </w:r>
            <w:r>
              <w:rPr>
                <w:rFonts w:hint="eastAsia" w:ascii="仿宋" w:hAnsi="仿宋" w:eastAsia="仿宋" w:cs="仿宋"/>
                <w:color w:val="0C0C0C"/>
                <w:sz w:val="20"/>
                <w:szCs w:val="20"/>
              </w:rPr>
              <w:t>专项资金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29.75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98.23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4.22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36.08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1.41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4.19</w:t>
            </w:r>
            <w:bookmarkStart w:id="0" w:name="_GoBack"/>
            <w:bookmarkEnd w:id="0"/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1.31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3.59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2.72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204.69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86.64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160.19</w:t>
            </w:r>
          </w:p>
        </w:tc>
      </w:tr>
      <w:tr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严格执行预算，严控“三公”经费</w:t>
            </w:r>
          </w:p>
        </w:tc>
      </w:tr>
      <w:tr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spacing w:line="300" w:lineRule="exact"/>
        <w:rPr>
          <w:rFonts w:eastAsia="黑体"/>
          <w:color w:val="000000"/>
          <w:sz w:val="32"/>
          <w:szCs w:val="32"/>
        </w:rPr>
      </w:pPr>
    </w:p>
    <w:p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p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W w:w="10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绥宁县图书馆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</w:tr>
      <w:tr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86.64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156.35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160.19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156.35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160.19</w:t>
            </w:r>
          </w:p>
        </w:tc>
      </w:tr>
      <w:tr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156.35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130.43</w:t>
            </w:r>
          </w:p>
        </w:tc>
      </w:tr>
      <w:tr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29.75</w:t>
            </w:r>
          </w:p>
        </w:tc>
      </w:tr>
      <w:tr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rPr>
          <w:trHeight w:val="3039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提倡全民阅读，提高市民的文化意识，丰富市民的文化、娱乐生活。</w:t>
            </w:r>
          </w:p>
          <w:p>
            <w:pPr>
              <w:widowControl/>
              <w:numPr>
                <w:ilvl w:val="0"/>
                <w:numId w:val="3"/>
              </w:numPr>
              <w:spacing w:line="2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拓展图书馆的服务范围。</w:t>
            </w:r>
          </w:p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3、日常性阶段性购买各类图书、报刊，增加馆藏书籍。</w:t>
            </w:r>
          </w:p>
          <w:p>
            <w:pPr>
              <w:pStyle w:val="2"/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4、完成上级布置的各项中心工作。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numPr>
                <w:numId w:val="0"/>
              </w:numPr>
              <w:spacing w:line="2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/>
                <w:lang w:val="en-US" w:eastAsia="zh-CN"/>
              </w:rPr>
              <w:t>在文化广场举办“4.23世界读书日”，“图书宣传周”，“全国科普日”等图书宣传活动，宣传图书馆免费开放政策，促进全民阅读活动的广泛开展，激发全民阅读兴趣，营造书香氛围。</w:t>
            </w:r>
          </w:p>
          <w:p>
            <w:pPr>
              <w:widowControl/>
              <w:numPr>
                <w:numId w:val="0"/>
              </w:numPr>
              <w:spacing w:line="2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积极开展推广阅读活动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/>
                <w:lang w:val="en-US" w:eastAsia="zh-CN"/>
              </w:rPr>
              <w:t>多次送作文、名著、英语读物等进实验中学；下乡对农家书屋进行分类、上架指导。</w:t>
            </w:r>
          </w:p>
          <w:p>
            <w:pPr>
              <w:widowControl/>
              <w:numPr>
                <w:numId w:val="0"/>
              </w:numPr>
              <w:spacing w:line="2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3、到长沙图书公司选购了近4000册热门新图书，现都已采编上架流通；新建了一个《红色教育阅览室》，可以电子查询资料，也可以查看纸质档图书，逐步实现数字图书馆资源建设。</w:t>
            </w:r>
          </w:p>
          <w:p>
            <w:pPr>
              <w:widowControl/>
              <w:numPr>
                <w:numId w:val="0"/>
              </w:numPr>
              <w:spacing w:line="2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4、按时完成上级布置的各项中心工作，及时完成公共服务科交办的各项工作任务。</w:t>
            </w:r>
          </w:p>
          <w:p>
            <w:pPr>
              <w:widowControl/>
              <w:numPr>
                <w:numId w:val="0"/>
              </w:numPr>
              <w:spacing w:line="56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   指标</w:t>
            </w:r>
          </w:p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图书宣传推广活动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较好完成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图书购置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4000册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基本完成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财政资金使用规范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规范预算开支，符合国家财经法规和单位财务管理制度规定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无政策依据的经费不予支出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图书推广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红色教育阅览室建设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工作效率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完成全年工作目标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较好完成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经费保障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效益指标（30分）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文化推广覆盖人群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20万人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15万人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提升市民精神文化生活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提升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有待加强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5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受益对象满意度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98%以上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96%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ascii="仿宋" w:hAnsi="仿宋" w:eastAsia="仿宋" w:cs="仿宋"/>
          <w:sz w:val="44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 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3.三级绩效指标按需自行增减行。个别不涉及的二级指标可删除不要。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pStyle w:val="5"/>
        <w:widowControl/>
        <w:shd w:val="clear" w:color="auto" w:fill="FFFFFF"/>
        <w:spacing w:before="62" w:beforeAutospacing="0" w:afterAutospacing="0" w:line="480" w:lineRule="atLeast"/>
        <w:jc w:val="both"/>
        <w:rPr>
          <w:color w:val="000000"/>
        </w:rPr>
      </w:pPr>
    </w:p>
    <w:p>
      <w:pPr>
        <w:pStyle w:val="5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ans serif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93896418">
    <w:nsid w:val="64F6CEE2"/>
    <w:multiLevelType w:val="singleLevel"/>
    <w:tmpl w:val="64F6CEE2"/>
    <w:lvl w:ilvl="0" w:tentative="1">
      <w:start w:val="1"/>
      <w:numFmt w:val="decimal"/>
      <w:suff w:val="nothing"/>
      <w:lvlText w:val="%1."/>
      <w:lvlJc w:val="left"/>
    </w:lvl>
  </w:abstractNum>
  <w:abstractNum w:abstractNumId="1693622138">
    <w:nsid w:val="64F29F7A"/>
    <w:multiLevelType w:val="singleLevel"/>
    <w:tmpl w:val="64F29F7A"/>
    <w:lvl w:ilvl="0" w:tentative="1">
      <w:start w:val="1"/>
      <w:numFmt w:val="decimal"/>
      <w:suff w:val="nothing"/>
      <w:lvlText w:val="%1、"/>
      <w:lvlJc w:val="left"/>
    </w:lvl>
  </w:abstractNum>
  <w:abstractNum w:abstractNumId="1842797799">
    <w:nsid w:val="6DD6DCE7"/>
    <w:multiLevelType w:val="singleLevel"/>
    <w:tmpl w:val="6DD6DCE7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693896418"/>
  </w:num>
  <w:num w:numId="2">
    <w:abstractNumId w:val="1842797799"/>
  </w:num>
  <w:num w:numId="3">
    <w:abstractNumId w:val="16936221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 First Indent 2"/>
    <w:basedOn w:val="3"/>
    <w:semiHidden/>
    <w:unhideWhenUsed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semiHidden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351</Words>
  <Characters>2002</Characters>
  <Lines>16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2023-08-22T02:49:00Z</dcterms:created>
  <dc:creator>Administrator</dc:creator>
  <cp:lastModifiedBy>1</cp:lastModifiedBy>
  <dcterms:modified xsi:type="dcterms:W3CDTF">2023-10-08T08:05:23Z</dcterms:modified>
  <dc:title>绥宁县××××2022年度部门整体支出绩效自评报告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