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  <w:r>
        <w:rPr>
          <w:rFonts w:hint="eastAsia" w:ascii="黑体" w:eastAsia="黑体" w:cs="仿宋"/>
          <w:kern w:val="0"/>
          <w:sz w:val="32"/>
          <w:szCs w:val="32"/>
        </w:rPr>
        <w:t>附件3</w:t>
      </w:r>
    </w:p>
    <w:p>
      <w:pPr>
        <w:spacing w:afterLines="50"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 w:cs="仿宋_GB2312"/>
          <w:kern w:val="0"/>
          <w:sz w:val="24"/>
        </w:rPr>
        <w:t>填报单位：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4"/>
        <w:tblW w:w="10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0"/>
        <w:gridCol w:w="1190"/>
        <w:gridCol w:w="1170"/>
        <w:gridCol w:w="1130"/>
        <w:gridCol w:w="1465"/>
        <w:gridCol w:w="970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财政供养人员情况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编制数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实际在职人数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103.41%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经费控制情况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年决算数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预算数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三公经费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11.51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15.42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、公务用车购置和维护经费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1.84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5.43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其中：公车购置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公车运行维护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1.84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5.43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4"/>
              </w:rPr>
              <w:t>、出国经费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、公务接待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9.67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9.99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项目支出：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2233.48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1276.59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4"/>
              </w:rPr>
              <w:t>、业务工作专项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186.76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4"/>
              </w:rPr>
              <w:t>、运行维护专项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　24.03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3、上级专项资金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1991.64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1185.82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4、其他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31.05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公用经费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430.2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458.48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646.04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其中：办公经费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286.33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 xml:space="preserve"> 398.08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484.87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水费、电费、差旅费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52.29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55.6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75.5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会议费、培训费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1.47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4.8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4"/>
                <w:lang w:val="en-US" w:eastAsia="zh-CN"/>
              </w:rPr>
              <w:t>1.89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90.11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政府采购金额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117.86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部门整体支出预算调整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厉行节约保障措施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严格执行预算管理，对公用经费和项目经费实行定额管理。</w:t>
            </w: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widowControl/>
        <w:ind w:right="-1050"/>
        <w:jc w:val="left"/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需要填报除专项资金和基本支出以外的所有项目情况，包括业务工作项目、运行维护项目等；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填报基本支出中的一般商品和服务支出。</w:t>
      </w: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7E8E"/>
    <w:rsid w:val="43FB73BF"/>
    <w:rsid w:val="60DB6D7F"/>
    <w:rsid w:val="78D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toc 5"/>
    <w:basedOn w:val="1"/>
    <w:next w:val="1"/>
    <w:semiHidden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2022-08-30T05:29:00Z</dcterms:created>
  <dc:creator>谜</dc:creator>
  <cp:lastModifiedBy>谜</cp:lastModifiedBy>
  <dcterms:modified xsi:type="dcterms:W3CDTF">2022-08-30T05:48:49Z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