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kern w:val="0"/>
          <w:sz w:val="32"/>
          <w:szCs w:val="32"/>
        </w:rPr>
      </w:pPr>
      <w:r>
        <w:rPr>
          <w:rFonts w:eastAsia="黑体"/>
          <w:kern w:val="0"/>
          <w:sz w:val="32"/>
          <w:szCs w:val="32"/>
        </w:rPr>
        <w:t>附件</w:t>
      </w:r>
      <w:r>
        <w:rPr>
          <w:rFonts w:hint="eastAsia" w:eastAsia="黑体"/>
          <w:kern w:val="0"/>
          <w:sz w:val="32"/>
          <w:szCs w:val="32"/>
        </w:rPr>
        <w:t>2</w:t>
      </w:r>
    </w:p>
    <w:p>
      <w:pPr>
        <w:spacing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部门整体支出绩效评价指标表</w:t>
      </w:r>
    </w:p>
    <w:tbl>
      <w:tblPr>
        <w:tblStyle w:val="4"/>
        <w:tblW w:w="10598" w:type="dxa"/>
        <w:jc w:val="center"/>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一级指标</w:t>
            </w:r>
          </w:p>
        </w:tc>
        <w:tc>
          <w:tcPr>
            <w:tcW w:w="6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7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二级指标</w:t>
            </w:r>
          </w:p>
        </w:tc>
        <w:tc>
          <w:tcPr>
            <w:tcW w:w="5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85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三级</w:t>
            </w:r>
          </w:p>
          <w:p>
            <w:pPr>
              <w:widowControl/>
              <w:spacing w:line="300" w:lineRule="exact"/>
              <w:jc w:val="center"/>
              <w:rPr>
                <w:rFonts w:eastAsia="仿宋_GB2312"/>
                <w:kern w:val="0"/>
                <w:sz w:val="20"/>
                <w:szCs w:val="20"/>
              </w:rPr>
            </w:pPr>
            <w:r>
              <w:rPr>
                <w:rFonts w:hint="eastAsia" w:eastAsia="仿宋_GB2312" w:cs="仿宋_GB2312"/>
                <w:kern w:val="0"/>
                <w:sz w:val="20"/>
                <w:szCs w:val="20"/>
              </w:rPr>
              <w:t>指标</w:t>
            </w:r>
          </w:p>
        </w:tc>
        <w:tc>
          <w:tcPr>
            <w:tcW w:w="49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评价标准</w:t>
            </w:r>
          </w:p>
        </w:tc>
        <w:tc>
          <w:tcPr>
            <w:tcW w:w="272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得分</w:t>
            </w:r>
          </w:p>
        </w:tc>
      </w:tr>
      <w:tr>
        <w:tblPrEx>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投入</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预算配置</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722" w:type="dxa"/>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，在职人员数：部门（单位）实际在职人数，以财政厅确定的部门决算编制口径为准。</w:t>
            </w:r>
            <w:r>
              <w:rPr>
                <w:rFonts w:eastAsia="仿宋_GB2312"/>
                <w:kern w:val="0"/>
                <w:sz w:val="20"/>
                <w:szCs w:val="20"/>
              </w:rPr>
              <w:br w:type="textWrapping"/>
            </w:r>
            <w:r>
              <w:rPr>
                <w:rFonts w:hint="eastAsia" w:eastAsia="仿宋_GB2312" w:cs="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vAlign w:val="center"/>
          </w:tcPr>
          <w:p/>
        </w:tc>
        <w:tc>
          <w:tcPr>
            <w:tcW w:w="645" w:type="dxa"/>
            <w:vMerge w:val="continue"/>
            <w:tcBorders>
              <w:top w:val="nil"/>
              <w:left w:val="single" w:color="auto" w:sz="4" w:space="0"/>
              <w:bottom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3</w:t>
            </w:r>
          </w:p>
        </w:tc>
      </w:tr>
      <w:tr>
        <w:tblPrEx>
          <w:tblCellMar>
            <w:top w:w="0" w:type="dxa"/>
            <w:left w:w="108" w:type="dxa"/>
            <w:bottom w:w="0" w:type="dxa"/>
            <w:right w:w="108" w:type="dxa"/>
          </w:tblCellMar>
        </w:tblPrEx>
        <w:trPr>
          <w:jc w:val="center"/>
        </w:trPr>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cs="仿宋_GB2312"/>
                <w:kern w:val="0"/>
                <w:sz w:val="20"/>
                <w:szCs w:val="20"/>
              </w:rPr>
            </w:pPr>
            <w:r>
              <w:rPr>
                <w:rFonts w:hint="eastAsia" w:eastAsia="仿宋_GB2312" w:cs="仿宋_GB2312"/>
                <w:kern w:val="0"/>
                <w:sz w:val="20"/>
                <w:szCs w:val="20"/>
              </w:rPr>
              <w:t>过</w:t>
            </w: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kern w:val="0"/>
                <w:sz w:val="20"/>
                <w:szCs w:val="20"/>
              </w:rPr>
            </w:pPr>
            <w:r>
              <w:rPr>
                <w:rFonts w:eastAsia="仿宋_GB2312"/>
                <w:kern w:val="0"/>
                <w:sz w:val="20"/>
                <w:szCs w:val="20"/>
              </w:rPr>
              <w:t xml:space="preserve">                                                                                                                                       </w:t>
            </w:r>
            <w:r>
              <w:rPr>
                <w:rFonts w:hint="eastAsia" w:eastAsia="仿宋_GB2312" w:cs="仿宋_GB2312"/>
                <w:kern w:val="0"/>
                <w:sz w:val="20"/>
                <w:szCs w:val="20"/>
              </w:rPr>
              <w:t>程</w:t>
            </w:r>
            <w:r>
              <w:rPr>
                <w:rFonts w:eastAsia="仿宋_GB2312"/>
                <w:kern w:val="0"/>
                <w:sz w:val="20"/>
                <w:szCs w:val="20"/>
              </w:rPr>
              <w:t xml:space="preserve">                                                                                                                                     </w:t>
            </w:r>
          </w:p>
        </w:tc>
        <w:tc>
          <w:tcPr>
            <w:tcW w:w="6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6</w:t>
            </w:r>
            <w:r>
              <w:rPr>
                <w:rFonts w:eastAsia="仿宋_GB2312"/>
                <w:kern w:val="0"/>
                <w:sz w:val="20"/>
                <w:szCs w:val="20"/>
              </w:rPr>
              <w:t>0</w:t>
            </w: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预算执行</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ind w:firstLine="240" w:firstLineChars="100"/>
              <w:jc w:val="left"/>
              <w:rPr>
                <w:kern w:val="0"/>
                <w:sz w:val="24"/>
              </w:rPr>
            </w:pPr>
            <w:r>
              <w:rPr>
                <w:rFonts w:hint="eastAsia" w:cs="宋体"/>
                <w:kern w:val="0"/>
                <w:sz w:val="24"/>
                <w:lang w:val="en-US" w:eastAsia="zh-CN"/>
              </w:rPr>
              <w:t>5</w:t>
            </w:r>
            <w:r>
              <w:rPr>
                <w:rFonts w:hint="eastAsia" w:cs="宋体"/>
                <w:kern w:val="0"/>
                <w:sz w:val="24"/>
              </w:rPr>
              <w:t>　</w:t>
            </w:r>
          </w:p>
        </w:tc>
      </w:tr>
      <w:tr>
        <w:tblPrEx>
          <w:tblCellMar>
            <w:top w:w="0" w:type="dxa"/>
            <w:left w:w="108" w:type="dxa"/>
            <w:bottom w:w="0" w:type="dxa"/>
            <w:right w:w="108" w:type="dxa"/>
          </w:tblCellMar>
        </w:tblPrEx>
        <w:trPr>
          <w:trHeight w:val="1273"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3</w:t>
            </w:r>
          </w:p>
        </w:tc>
      </w:tr>
      <w:tr>
        <w:tblPrEx>
          <w:tblCellMar>
            <w:top w:w="0" w:type="dxa"/>
            <w:left w:w="108" w:type="dxa"/>
            <w:bottom w:w="0" w:type="dxa"/>
            <w:right w:w="108" w:type="dxa"/>
          </w:tblCellMar>
        </w:tblPrEx>
        <w:trPr>
          <w:trHeight w:val="1562"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预算管理</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5</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r>
              <w:rPr>
                <w:rFonts w:eastAsia="仿宋_GB2312"/>
                <w:kern w:val="0"/>
                <w:sz w:val="20"/>
                <w:szCs w:val="20"/>
              </w:rPr>
              <w:br w:type="textWrapping"/>
            </w:r>
            <w:r>
              <w:rPr>
                <w:rFonts w:hint="eastAsia" w:eastAsia="仿宋_GB2312" w:cs="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300" w:lineRule="exact"/>
              <w:ind w:firstLine="240" w:firstLineChars="100"/>
              <w:jc w:val="left"/>
              <w:rPr>
                <w:kern w:val="0"/>
                <w:sz w:val="24"/>
              </w:rPr>
            </w:pPr>
            <w:r>
              <w:rPr>
                <w:rFonts w:hint="eastAsia" w:cs="宋体"/>
                <w:kern w:val="0"/>
                <w:sz w:val="24"/>
                <w:lang w:val="en-US" w:eastAsia="zh-CN"/>
              </w:rPr>
              <w:t>5</w:t>
            </w:r>
            <w:r>
              <w:rPr>
                <w:rFonts w:hint="eastAsia" w:cs="宋体"/>
                <w:kern w:val="0"/>
                <w:sz w:val="24"/>
              </w:rPr>
              <w:t>　</w:t>
            </w:r>
          </w:p>
        </w:tc>
      </w:tr>
      <w:tr>
        <w:tblPrEx>
          <w:tblCellMar>
            <w:top w:w="0" w:type="dxa"/>
            <w:left w:w="108" w:type="dxa"/>
            <w:bottom w:w="0" w:type="dxa"/>
            <w:right w:w="108" w:type="dxa"/>
          </w:tblCellMar>
        </w:tblPrEx>
        <w:trPr>
          <w:trHeight w:val="1073"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7</w:t>
            </w:r>
          </w:p>
        </w:tc>
      </w:tr>
      <w:tr>
        <w:tblPrEx>
          <w:tblCellMar>
            <w:top w:w="0" w:type="dxa"/>
            <w:left w:w="108" w:type="dxa"/>
            <w:bottom w:w="0" w:type="dxa"/>
            <w:right w:w="108" w:type="dxa"/>
          </w:tblCellMar>
        </w:tblPrEx>
        <w:trPr>
          <w:trHeight w:val="918" w:hRule="atLeast"/>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3</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0"/>
                <w:szCs w:val="20"/>
              </w:rPr>
            </w:pPr>
          </w:p>
        </w:tc>
        <w:tc>
          <w:tcPr>
            <w:tcW w:w="645"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kern w:val="0"/>
                <w:sz w:val="20"/>
                <w:szCs w:val="20"/>
              </w:rPr>
            </w:pP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预算管理</w:t>
            </w: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管理制度健全性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①有内部财务管理制度、会计核算制度等管理制度，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②有本部门厉行节约制度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③相关管理制度合法、合规、完整，</w:t>
            </w:r>
            <w:r>
              <w:rPr>
                <w:rFonts w:eastAsia="仿宋_GB2312"/>
                <w:kern w:val="0"/>
                <w:sz w:val="20"/>
                <w:szCs w:val="20"/>
              </w:rPr>
              <w:t>2</w:t>
            </w:r>
            <w:r>
              <w:rPr>
                <w:rFonts w:hint="eastAsia" w:eastAsia="仿宋_GB2312" w:cs="仿宋_GB2312"/>
                <w:kern w:val="0"/>
                <w:sz w:val="20"/>
                <w:szCs w:val="20"/>
              </w:rPr>
              <w:t>分；④相关管理制度得到有效执行，</w:t>
            </w:r>
            <w:r>
              <w:rPr>
                <w:rFonts w:eastAsia="仿宋_GB2312"/>
                <w:kern w:val="0"/>
                <w:sz w:val="20"/>
                <w:szCs w:val="20"/>
              </w:rPr>
              <w:t>2</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7</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资金使用合规性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type="textWrapping"/>
            </w: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default" w:eastAsia="宋体"/>
                <w:kern w:val="0"/>
                <w:sz w:val="24"/>
                <w:lang w:val="en-US" w:eastAsia="zh-CN"/>
              </w:rPr>
            </w:pPr>
            <w:r>
              <w:rPr>
                <w:rFonts w:hint="eastAsia" w:cs="宋体"/>
                <w:kern w:val="0"/>
                <w:sz w:val="24"/>
              </w:rPr>
              <w:t>　</w:t>
            </w:r>
            <w:r>
              <w:rPr>
                <w:rFonts w:hint="eastAsia" w:cs="宋体"/>
                <w:kern w:val="0"/>
                <w:sz w:val="24"/>
                <w:lang w:val="en-US" w:eastAsia="zh-CN"/>
              </w:rPr>
              <w:t>15</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预决算信息公开性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①按规定内容公开预决算信息，</w:t>
            </w:r>
            <w:r>
              <w:rPr>
                <w:rFonts w:eastAsia="仿宋_GB2312"/>
                <w:kern w:val="0"/>
                <w:sz w:val="20"/>
                <w:szCs w:val="20"/>
              </w:rPr>
              <w:t>1</w:t>
            </w:r>
            <w:r>
              <w:rPr>
                <w:rFonts w:hint="eastAsia" w:eastAsia="仿宋_GB2312" w:cs="仿宋_GB2312"/>
                <w:kern w:val="0"/>
                <w:sz w:val="20"/>
                <w:szCs w:val="20"/>
              </w:rPr>
              <w:t>分；②按规定时限公开预决算信息，</w:t>
            </w:r>
            <w:r>
              <w:rPr>
                <w:rFonts w:eastAsia="仿宋_GB2312"/>
                <w:kern w:val="0"/>
                <w:sz w:val="20"/>
                <w:szCs w:val="20"/>
              </w:rPr>
              <w:t>1</w:t>
            </w:r>
            <w:r>
              <w:rPr>
                <w:rFonts w:hint="eastAsia" w:eastAsia="仿宋_GB2312" w:cs="仿宋_GB2312"/>
                <w:kern w:val="0"/>
                <w:sz w:val="20"/>
                <w:szCs w:val="20"/>
              </w:rPr>
              <w:t>分；③基础数据信息和会计信息资料真实，</w:t>
            </w:r>
            <w:r>
              <w:rPr>
                <w:rFonts w:eastAsia="仿宋_GB2312"/>
                <w:kern w:val="0"/>
                <w:sz w:val="20"/>
                <w:szCs w:val="20"/>
              </w:rPr>
              <w:t>1</w:t>
            </w:r>
            <w:r>
              <w:rPr>
                <w:rFonts w:hint="eastAsia" w:eastAsia="仿宋_GB2312" w:cs="仿宋_GB2312"/>
                <w:kern w:val="0"/>
                <w:sz w:val="20"/>
                <w:szCs w:val="20"/>
              </w:rPr>
              <w:t>分；④基础数据信息和会计信息资料完整，</w:t>
            </w:r>
            <w:r>
              <w:rPr>
                <w:rFonts w:eastAsia="仿宋_GB2312"/>
                <w:kern w:val="0"/>
                <w:sz w:val="20"/>
                <w:szCs w:val="20"/>
              </w:rPr>
              <w:t>1</w:t>
            </w:r>
            <w:r>
              <w:rPr>
                <w:rFonts w:hint="eastAsia" w:eastAsia="仿宋_GB2312" w:cs="仿宋_GB2312"/>
                <w:kern w:val="0"/>
                <w:sz w:val="20"/>
                <w:szCs w:val="20"/>
              </w:rPr>
              <w:t>分；⑤基础数据信息和汇集信息资料准确，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产出及效率</w:t>
            </w:r>
          </w:p>
        </w:tc>
        <w:tc>
          <w:tcPr>
            <w:tcW w:w="64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职责履行</w:t>
            </w:r>
          </w:p>
        </w:tc>
        <w:tc>
          <w:tcPr>
            <w:tcW w:w="58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重点工作实际完成率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根据绩效办</w:t>
            </w:r>
            <w:r>
              <w:rPr>
                <w:rFonts w:eastAsia="仿宋_GB2312"/>
                <w:kern w:val="0"/>
                <w:sz w:val="20"/>
                <w:szCs w:val="20"/>
              </w:rPr>
              <w:t>20</w:t>
            </w:r>
            <w:r>
              <w:rPr>
                <w:rFonts w:hint="eastAsia" w:eastAsia="仿宋_GB2312"/>
                <w:kern w:val="0"/>
                <w:sz w:val="20"/>
                <w:szCs w:val="20"/>
                <w:lang w:val="en-US" w:eastAsia="zh-CN"/>
              </w:rPr>
              <w:t>21</w:t>
            </w:r>
            <w:r>
              <w:rPr>
                <w:rFonts w:hint="eastAsia" w:eastAsia="仿宋_GB2312" w:cs="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w:t>
            </w:r>
            <w:r>
              <w:rPr>
                <w:rFonts w:hint="eastAsia" w:eastAsia="仿宋_GB2312" w:cs="仿宋_GB2312"/>
                <w:kern w:val="0"/>
                <w:sz w:val="20"/>
                <w:szCs w:val="20"/>
                <w:lang w:eastAsia="zh-CN"/>
              </w:rPr>
              <w:t>实</w:t>
            </w:r>
            <w:r>
              <w:rPr>
                <w:rFonts w:hint="eastAsia" w:eastAsia="仿宋_GB2312" w:cs="仿宋_GB2312"/>
                <w:kern w:val="0"/>
                <w:sz w:val="20"/>
                <w:szCs w:val="20"/>
              </w:rPr>
              <w:t>得分</w:t>
            </w:r>
            <w:r>
              <w:rPr>
                <w:rFonts w:eastAsia="仿宋_GB2312"/>
                <w:kern w:val="0"/>
                <w:sz w:val="20"/>
                <w:szCs w:val="20"/>
              </w:rPr>
              <w:t>/</w:t>
            </w:r>
            <w:r>
              <w:rPr>
                <w:rFonts w:hint="eastAsia" w:eastAsia="仿宋_GB2312" w:cs="仿宋_GB2312"/>
                <w:kern w:val="0"/>
                <w:sz w:val="20"/>
                <w:szCs w:val="20"/>
              </w:rPr>
              <w:t>绩效办对应部分考核</w:t>
            </w:r>
            <w:r>
              <w:rPr>
                <w:rFonts w:hint="eastAsia" w:eastAsia="仿宋_GB2312" w:cs="仿宋_GB2312"/>
                <w:kern w:val="0"/>
                <w:sz w:val="20"/>
                <w:szCs w:val="20"/>
                <w:lang w:val="en-US" w:eastAsia="zh-CN"/>
              </w:rPr>
              <w:t>应</w:t>
            </w:r>
            <w:r>
              <w:rPr>
                <w:rFonts w:hint="eastAsia" w:eastAsia="仿宋_GB2312" w:cs="仿宋_GB2312"/>
                <w:kern w:val="0"/>
                <w:sz w:val="20"/>
                <w:szCs w:val="20"/>
              </w:rPr>
              <w:t>得分）</w:t>
            </w:r>
            <w:r>
              <w:rPr>
                <w:rFonts w:eastAsia="仿宋_GB2312"/>
                <w:kern w:val="0"/>
                <w:sz w:val="20"/>
                <w:szCs w:val="20"/>
              </w:rPr>
              <w:t>*8</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8</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经济</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社会</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continue"/>
            <w:tcBorders>
              <w:top w:val="single" w:color="auto" w:sz="4" w:space="0"/>
              <w:left w:val="single" w:color="auto" w:sz="4" w:space="0"/>
              <w:bottom w:val="nil"/>
              <w:right w:val="single" w:color="auto" w:sz="4" w:space="0"/>
            </w:tcBorders>
            <w:vAlign w:val="center"/>
          </w:tcPr>
          <w:p/>
        </w:tc>
        <w:tc>
          <w:tcPr>
            <w:tcW w:w="5981" w:type="dxa"/>
            <w:gridSpan w:val="2"/>
            <w:vMerge w:val="continue"/>
            <w:tcBorders>
              <w:top w:val="single" w:color="auto" w:sz="4" w:space="0"/>
              <w:left w:val="single" w:color="auto" w:sz="4" w:space="0"/>
              <w:bottom w:val="nil"/>
              <w:right w:val="single" w:color="000000" w:sz="4" w:space="0"/>
            </w:tcBorders>
            <w:vAlign w:val="center"/>
          </w:tcPr>
          <w:p/>
        </w:tc>
        <w:tc>
          <w:tcPr>
            <w:tcW w:w="637" w:type="dxa"/>
            <w:tcBorders>
              <w:top w:val="single" w:color="auto" w:sz="4" w:space="0"/>
              <w:left w:val="nil"/>
              <w:bottom w:val="nil"/>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行政效能</w:t>
            </w:r>
          </w:p>
        </w:tc>
        <w:tc>
          <w:tcPr>
            <w:tcW w:w="49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722"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6</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vAlign w:val="center"/>
          </w:tcPr>
          <w:p/>
        </w:tc>
        <w:tc>
          <w:tcPr>
            <w:tcW w:w="645" w:type="dxa"/>
            <w:vMerge w:val="continue"/>
            <w:tcBorders>
              <w:top w:val="single" w:color="auto" w:sz="4" w:space="0"/>
              <w:left w:val="single" w:color="auto" w:sz="4" w:space="0"/>
              <w:bottom w:val="single" w:color="auto" w:sz="4" w:space="0"/>
              <w:right w:val="single" w:color="auto" w:sz="4" w:space="0"/>
            </w:tcBorders>
            <w:vAlign w:val="center"/>
          </w:tcPr>
          <w:p/>
        </w:tc>
        <w:tc>
          <w:tcPr>
            <w:tcW w:w="720" w:type="dxa"/>
            <w:vMerge w:val="continue"/>
            <w:tcBorders>
              <w:top w:val="nil"/>
              <w:left w:val="single" w:color="auto" w:sz="4" w:space="0"/>
              <w:bottom w:val="single" w:color="auto" w:sz="4" w:space="0"/>
              <w:right w:val="single" w:color="auto" w:sz="4" w:space="0"/>
            </w:tcBorders>
            <w:vAlign w:val="center"/>
          </w:tcPr>
          <w:p/>
        </w:tc>
        <w:tc>
          <w:tcPr>
            <w:tcW w:w="585" w:type="dxa"/>
            <w:vMerge w:val="continue"/>
            <w:tcBorders>
              <w:top w:val="nil"/>
              <w:left w:val="single" w:color="auto" w:sz="4" w:space="0"/>
              <w:bottom w:val="single" w:color="auto"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hint="default" w:eastAsia="仿宋_GB2312"/>
                <w:kern w:val="0"/>
                <w:sz w:val="20"/>
                <w:szCs w:val="20"/>
                <w:lang w:val="en-US" w:eastAsia="zh-CN"/>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6</w:t>
            </w:r>
          </w:p>
        </w:tc>
      </w:tr>
      <w:tr>
        <w:tblPrEx>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vAlign w:val="center"/>
          </w:tcPr>
          <w:p/>
        </w:tc>
        <w:tc>
          <w:tcPr>
            <w:tcW w:w="645" w:type="dxa"/>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tc>
        <w:tc>
          <w:tcPr>
            <w:tcW w:w="585" w:type="dxa"/>
            <w:tcBorders>
              <w:top w:val="single" w:color="auto" w:sz="4" w:space="0"/>
              <w:left w:val="single" w:color="auto" w:sz="4" w:space="0"/>
              <w:bottom w:val="single" w:color="auto" w:sz="4" w:space="0"/>
              <w:right w:val="single" w:color="auto" w:sz="4" w:space="0"/>
            </w:tcBorders>
            <w:vAlign w:val="center"/>
          </w:tcPr>
          <w:p/>
        </w:tc>
        <w:tc>
          <w:tcPr>
            <w:tcW w:w="8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rPr>
            </w:pPr>
          </w:p>
        </w:tc>
        <w:tc>
          <w:tcPr>
            <w:tcW w:w="4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p>
        </w:tc>
        <w:tc>
          <w:tcPr>
            <w:tcW w:w="325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p>
        </w:tc>
        <w:tc>
          <w:tcPr>
            <w:tcW w:w="272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rPr>
            </w:pPr>
          </w:p>
        </w:tc>
        <w:tc>
          <w:tcPr>
            <w:tcW w:w="63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default" w:eastAsia="宋体" w:cs="宋体"/>
                <w:kern w:val="0"/>
                <w:sz w:val="24"/>
                <w:lang w:val="en-US" w:eastAsia="zh-CN"/>
              </w:rPr>
            </w:pPr>
            <w:r>
              <w:rPr>
                <w:rFonts w:hint="eastAsia" w:cs="宋体"/>
                <w:kern w:val="0"/>
                <w:sz w:val="24"/>
                <w:lang w:val="en-US" w:eastAsia="zh-CN"/>
              </w:rPr>
              <w:t>83</w:t>
            </w:r>
          </w:p>
        </w:tc>
      </w:tr>
    </w:tbl>
    <w:p>
      <w:r>
        <w:rPr>
          <w:rFonts w:ascii="黑体" w:eastAsia="黑体"/>
          <w:sz w:val="28"/>
          <w:szCs w:val="28"/>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72D9D"/>
    <w:rsid w:val="27672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widowControl/>
      <w:spacing w:before="100" w:beforeAutospacing="1" w:after="100" w:afterAutospacing="1"/>
      <w:jc w:val="left"/>
    </w:pPr>
    <w:rPr>
      <w:rFonts w:ascii="宋体" w:hAnsi="宋体" w:cs="宋体"/>
      <w:kern w:val="0"/>
      <w:sz w:val="24"/>
    </w:rPr>
  </w:style>
  <w:style w:type="paragraph" w:styleId="3">
    <w:name w:val="toc 5"/>
    <w:basedOn w:val="1"/>
    <w:next w:val="1"/>
    <w:semiHidden/>
    <w:qFormat/>
    <w:uiPriority w:val="0"/>
    <w:pPr>
      <w:ind w:left="1680" w:leftChars="8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2022-08-30T05:28:00Z</dcterms:created>
  <dc:creator>谜</dc:creator>
  <cp:lastModifiedBy>谜</cp:lastModifiedBy>
  <dcterms:modified xsi:type="dcterms:W3CDTF">2022-08-30T05:32:14Z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