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center"/>
        <w:rPr>
          <w:rFonts w:ascii="仿宋" w:hAnsi="仿宋" w:eastAsia="仿宋"/>
          <w:color w:val="010101"/>
          <w:sz w:val="32"/>
          <w:szCs w:val="32"/>
        </w:rPr>
      </w:pPr>
      <w:r>
        <w:rPr>
          <w:rFonts w:hint="eastAsia" w:ascii="仿宋" w:hAnsi="仿宋" w:eastAsia="仿宋"/>
          <w:color w:val="010101"/>
          <w:sz w:val="32"/>
          <w:szCs w:val="32"/>
        </w:rPr>
        <w:t>绥宁县</w:t>
      </w:r>
      <w:r>
        <w:rPr>
          <w:rFonts w:hint="eastAsia" w:ascii="仿宋" w:hAnsi="仿宋" w:eastAsia="仿宋"/>
          <w:color w:val="010101"/>
          <w:sz w:val="32"/>
          <w:szCs w:val="32"/>
          <w:lang w:eastAsia="zh-CN"/>
        </w:rPr>
        <w:t>寨市管理处</w:t>
      </w:r>
      <w:r>
        <w:rPr>
          <w:rFonts w:hint="eastAsia" w:ascii="仿宋" w:hAnsi="仿宋" w:eastAsia="仿宋"/>
          <w:color w:val="010101"/>
          <w:sz w:val="32"/>
          <w:szCs w:val="32"/>
        </w:rPr>
        <w:t>2019</w:t>
      </w:r>
      <w:r>
        <w:rPr>
          <w:rFonts w:ascii="仿宋" w:hAnsi="仿宋" w:eastAsia="仿宋"/>
          <w:color w:val="010101"/>
          <w:sz w:val="32"/>
          <w:szCs w:val="32"/>
        </w:rPr>
        <w:t>年度</w:t>
      </w:r>
    </w:p>
    <w:p>
      <w:pPr>
        <w:autoSpaceDN w:val="0"/>
        <w:jc w:val="center"/>
        <w:rPr>
          <w:rFonts w:ascii="仿宋" w:hAnsi="仿宋" w:eastAsia="仿宋"/>
          <w:color w:val="010101"/>
          <w:sz w:val="32"/>
          <w:szCs w:val="32"/>
        </w:rPr>
      </w:pPr>
      <w:r>
        <w:rPr>
          <w:rFonts w:ascii="仿宋" w:hAnsi="仿宋" w:eastAsia="仿宋"/>
          <w:color w:val="010101"/>
          <w:sz w:val="32"/>
          <w:szCs w:val="32"/>
        </w:rPr>
        <w:t>部门整体支出绩效评价报告</w:t>
      </w:r>
    </w:p>
    <w:p>
      <w:pPr>
        <w:autoSpaceDN w:val="0"/>
        <w:outlineLvl w:val="0"/>
        <w:rPr>
          <w:rFonts w:hint="eastAsia" w:ascii="仿宋" w:hAnsi="仿宋" w:eastAsia="仿宋" w:cs="仿宋"/>
          <w:color w:val="010101"/>
          <w:sz w:val="21"/>
          <w:szCs w:val="21"/>
        </w:rPr>
      </w:pPr>
      <w:r>
        <w:rPr>
          <w:rFonts w:ascii="微软雅黑" w:hAnsi="微软雅黑" w:eastAsia="微软雅黑"/>
          <w:color w:val="010101"/>
          <w:sz w:val="24"/>
        </w:rPr>
        <w:t>　　</w:t>
      </w:r>
      <w:r>
        <w:rPr>
          <w:rFonts w:hint="eastAsia" w:ascii="仿宋" w:hAnsi="仿宋" w:eastAsia="仿宋" w:cs="仿宋"/>
          <w:color w:val="010101"/>
          <w:sz w:val="21"/>
          <w:szCs w:val="21"/>
        </w:rPr>
        <w:t xml:space="preserve">一、部门概况 </w:t>
      </w:r>
    </w:p>
    <w:p>
      <w:pPr>
        <w:autoSpaceDN w:val="0"/>
        <w:outlineLvl w:val="0"/>
        <w:rPr>
          <w:rFonts w:hint="eastAsia" w:ascii="仿宋" w:hAnsi="仿宋" w:eastAsia="仿宋" w:cs="仿宋"/>
          <w:color w:val="010101"/>
          <w:sz w:val="21"/>
          <w:szCs w:val="21"/>
        </w:rPr>
      </w:pPr>
      <w:r>
        <w:rPr>
          <w:rFonts w:hint="eastAsia" w:ascii="仿宋" w:hAnsi="仿宋" w:eastAsia="仿宋" w:cs="仿宋"/>
          <w:color w:val="010101"/>
          <w:sz w:val="21"/>
          <w:szCs w:val="21"/>
        </w:rPr>
        <w:t>　（一）部门基本情况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60" w:lineRule="atLeast"/>
        <w:ind w:left="0" w:right="0" w:firstLine="548"/>
        <w:jc w:val="left"/>
      </w:pPr>
      <w:r>
        <w:rPr>
          <w:rFonts w:hint="eastAsia" w:ascii="仿宋" w:hAnsi="仿宋" w:eastAsia="仿宋" w:cs="仿宋"/>
          <w:color w:val="010101"/>
          <w:sz w:val="21"/>
          <w:szCs w:val="21"/>
        </w:rPr>
        <w:t xml:space="preserve"> 1、职能职责</w:t>
      </w:r>
      <w:r>
        <w:rPr>
          <w:rFonts w:hint="eastAsia" w:ascii="仿宋" w:hAnsi="仿宋" w:eastAsia="仿宋" w:cs="仿宋"/>
          <w:color w:val="010101"/>
          <w:sz w:val="21"/>
          <w:szCs w:val="21"/>
          <w:lang w:eastAsia="zh-CN"/>
        </w:rPr>
        <w:t>：</w:t>
      </w:r>
      <w:r>
        <w:rPr>
          <w:rFonts w:ascii="仿宋" w:hAnsi="仿宋" w:eastAsia="仿宋" w:cs="仿宋"/>
          <w:i w:val="0"/>
          <w:caps w:val="0"/>
          <w:color w:val="333333"/>
          <w:spacing w:val="0"/>
          <w:kern w:val="0"/>
          <w:sz w:val="21"/>
          <w:szCs w:val="21"/>
          <w:bdr w:val="none" w:color="auto" w:sz="0" w:space="0"/>
          <w:shd w:val="clear" w:fill="FFFFFF"/>
        </w:rPr>
        <w:t>寨市管理处主要职责：负责宣传、贯彻历史文化名镇保护有关法律、法规；具体实施古镇保护规划；组织或协调有关机构调查、搜集、整理、研究古镇民族传统文化；负责修建和完善基础设施和公共设施；组织开展古镇保护方面的宣传、教育、培训和对外交流；依法集中行使古镇保护管理的部分行政处罚权。</w:t>
      </w:r>
    </w:p>
    <w:p>
      <w:pPr>
        <w:autoSpaceDN w:val="0"/>
        <w:rPr>
          <w:rFonts w:hint="eastAsia" w:ascii="仿宋" w:hAnsi="仿宋" w:eastAsia="仿宋" w:cs="仿宋"/>
          <w:sz w:val="21"/>
          <w:szCs w:val="21"/>
        </w:rPr>
      </w:pPr>
    </w:p>
    <w:p>
      <w:pPr>
        <w:numPr>
          <w:ilvl w:val="0"/>
          <w:numId w:val="0"/>
        </w:numPr>
        <w:tabs>
          <w:tab w:val="left" w:pos="321"/>
        </w:tabs>
        <w:autoSpaceDN w:val="0"/>
        <w:rPr>
          <w:rFonts w:hint="eastAsia" w:ascii="仿宋" w:hAnsi="仿宋" w:eastAsia="仿宋" w:cs="仿宋"/>
          <w:color w:val="010101"/>
          <w:sz w:val="21"/>
          <w:szCs w:val="21"/>
        </w:rPr>
      </w:pPr>
      <w:r>
        <w:rPr>
          <w:rFonts w:hint="eastAsia" w:ascii="仿宋" w:hAnsi="仿宋" w:eastAsia="仿宋" w:cs="仿宋"/>
          <w:color w:val="010101"/>
          <w:sz w:val="21"/>
          <w:szCs w:val="21"/>
          <w:lang w:val="en-US" w:eastAsia="zh-CN"/>
        </w:rPr>
        <w:t xml:space="preserve">     2、</w:t>
      </w:r>
      <w:r>
        <w:rPr>
          <w:rFonts w:hint="eastAsia" w:ascii="仿宋" w:hAnsi="仿宋" w:eastAsia="仿宋" w:cs="仿宋"/>
          <w:color w:val="010101"/>
          <w:sz w:val="21"/>
          <w:szCs w:val="21"/>
        </w:rPr>
        <w:t>组织架构，人员编制：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rPr>
          <w:sz w:val="21"/>
          <w:szCs w:val="21"/>
        </w:rPr>
      </w:pPr>
      <w:r>
        <w:rPr>
          <w:rFonts w:hint="eastAsia" w:ascii="仿宋" w:hAnsi="仿宋" w:eastAsia="仿宋" w:cs="仿宋"/>
          <w:sz w:val="21"/>
          <w:szCs w:val="21"/>
          <w:lang w:val="en-US" w:eastAsia="zh-CN"/>
        </w:rPr>
        <w:t xml:space="preserve">    </w:t>
      </w:r>
      <w:r>
        <w:rPr>
          <w:rFonts w:ascii="仿宋" w:hAnsi="仿宋" w:eastAsia="仿宋" w:cs="仿宋"/>
          <w:i w:val="0"/>
          <w:caps w:val="0"/>
          <w:color w:val="333333"/>
          <w:spacing w:val="0"/>
          <w:kern w:val="0"/>
          <w:sz w:val="21"/>
          <w:szCs w:val="21"/>
          <w:bdr w:val="none" w:color="auto" w:sz="0" w:space="0"/>
          <w:shd w:val="clear" w:fill="FFFFFF"/>
          <w:lang w:val="en-US" w:eastAsia="zh-CN" w:bidi="ar"/>
        </w:rPr>
        <w:t>绥宁县寨市管理处内设办公室、建设规划科、文物管理科3个职能科（室），均为副科级</w:t>
      </w:r>
      <w:r>
        <w:rPr>
          <w:rFonts w:hint="eastAsia" w:ascii="仿宋" w:hAnsi="仿宋" w:eastAsia="仿宋" w:cs="仿宋"/>
          <w:i w:val="0"/>
          <w:caps w:val="0"/>
          <w:color w:val="333333"/>
          <w:spacing w:val="0"/>
          <w:kern w:val="0"/>
          <w:sz w:val="21"/>
          <w:szCs w:val="21"/>
          <w:bdr w:val="none" w:color="auto" w:sz="0" w:space="0"/>
          <w:shd w:val="clear" w:fill="FFFFFF"/>
          <w:lang w:val="en-US" w:eastAsia="zh-CN" w:bidi="ar"/>
        </w:rPr>
        <w:t>。绥宁县寨市管理处核定全额拨款事业编制15名，其中处长（副处级）1名，副处长（正科级）2名，纪检组长（正科级）1名，科长、主任（副科级）3名。现有在职工作人员4名。</w:t>
      </w:r>
    </w:p>
    <w:p>
      <w:pPr>
        <w:widowControl w:val="0"/>
        <w:numPr>
          <w:ilvl w:val="0"/>
          <w:numId w:val="0"/>
        </w:numPr>
        <w:autoSpaceDN w:val="0"/>
        <w:jc w:val="both"/>
        <w:rPr>
          <w:rFonts w:hint="eastAsia" w:ascii="仿宋" w:hAnsi="仿宋" w:eastAsia="仿宋" w:cs="仿宋"/>
          <w:color w:val="010101"/>
          <w:sz w:val="21"/>
          <w:szCs w:val="21"/>
        </w:rPr>
      </w:pPr>
    </w:p>
    <w:p>
      <w:pPr>
        <w:numPr>
          <w:ilvl w:val="0"/>
          <w:numId w:val="1"/>
        </w:numPr>
        <w:autoSpaceDN w:val="0"/>
        <w:ind w:firstLine="465" w:firstLineChars="0"/>
        <w:rPr>
          <w:rFonts w:hint="eastAsia" w:ascii="仿宋" w:hAnsi="仿宋" w:eastAsia="仿宋" w:cs="仿宋"/>
          <w:color w:val="010101"/>
          <w:sz w:val="21"/>
          <w:szCs w:val="21"/>
        </w:rPr>
      </w:pPr>
      <w:r>
        <w:rPr>
          <w:rFonts w:hint="eastAsia" w:ascii="仿宋" w:hAnsi="仿宋" w:eastAsia="仿宋" w:cs="仿宋"/>
          <w:color w:val="010101"/>
          <w:sz w:val="21"/>
          <w:szCs w:val="21"/>
        </w:rPr>
        <w:t>资金支出管理：</w:t>
      </w:r>
    </w:p>
    <w:p>
      <w:pPr>
        <w:numPr>
          <w:ilvl w:val="0"/>
          <w:numId w:val="0"/>
        </w:numPr>
        <w:autoSpaceDN w:val="0"/>
        <w:rPr>
          <w:rFonts w:hint="eastAsia" w:ascii="仿宋" w:hAnsi="仿宋" w:eastAsia="仿宋" w:cs="仿宋"/>
          <w:color w:val="010101"/>
          <w:sz w:val="21"/>
          <w:szCs w:val="21"/>
        </w:rPr>
      </w:pPr>
      <w:r>
        <w:rPr>
          <w:rFonts w:hint="eastAsia" w:ascii="仿宋" w:hAnsi="仿宋" w:eastAsia="仿宋" w:cs="仿宋"/>
          <w:i w:val="0"/>
          <w:caps w:val="0"/>
          <w:color w:val="333333"/>
          <w:spacing w:val="0"/>
          <w:sz w:val="21"/>
          <w:szCs w:val="21"/>
          <w:shd w:val="clear" w:fill="FFFFFF"/>
        </w:rPr>
        <w:t>严格执行单位年度预算。做到先有预算后有支出，坚决杜绝随意性支出。完成好预算编制、收支管理、资产管理、政府采购、合同管理、建设项目管理、资金核算账务年终决算工作，严格票据管理。资金核算账务公开透明</w:t>
      </w:r>
      <w:r>
        <w:rPr>
          <w:rFonts w:hint="eastAsia" w:ascii="仿宋" w:hAnsi="仿宋" w:eastAsia="仿宋" w:cs="仿宋"/>
          <w:i w:val="0"/>
          <w:caps w:val="0"/>
          <w:color w:val="333333"/>
          <w:spacing w:val="0"/>
          <w:sz w:val="21"/>
          <w:szCs w:val="21"/>
        </w:rPr>
        <w:t>.</w:t>
      </w:r>
    </w:p>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　 4、年度重点工作为：</w:t>
      </w:r>
    </w:p>
    <w:p>
      <w:pPr>
        <w:numPr>
          <w:ilvl w:val="0"/>
          <w:numId w:val="2"/>
        </w:numPr>
        <w:autoSpaceDN w:val="0"/>
        <w:rPr>
          <w:rFonts w:hint="eastAsia" w:ascii="仿宋" w:hAnsi="仿宋" w:eastAsia="仿宋" w:cs="仿宋"/>
          <w:color w:val="010101"/>
          <w:sz w:val="21"/>
          <w:szCs w:val="21"/>
          <w:lang w:eastAsia="zh-CN"/>
        </w:rPr>
      </w:pPr>
      <w:r>
        <w:rPr>
          <w:rFonts w:hint="eastAsia" w:ascii="仿宋" w:hAnsi="仿宋" w:eastAsia="仿宋" w:cs="仿宋"/>
          <w:color w:val="010101"/>
          <w:sz w:val="21"/>
          <w:szCs w:val="21"/>
          <w:lang w:eastAsia="zh-CN"/>
        </w:rPr>
        <w:t>加强对古镇景区的管控。</w:t>
      </w:r>
    </w:p>
    <w:p>
      <w:pPr>
        <w:autoSpaceDN w:val="0"/>
        <w:outlineLvl w:val="0"/>
        <w:rPr>
          <w:rFonts w:hint="eastAsia" w:ascii="仿宋" w:hAnsi="仿宋" w:eastAsia="仿宋" w:cs="仿宋"/>
          <w:color w:val="010101"/>
          <w:sz w:val="21"/>
          <w:szCs w:val="21"/>
        </w:rPr>
      </w:pPr>
      <w:r>
        <w:rPr>
          <w:rFonts w:hint="eastAsia" w:ascii="仿宋" w:hAnsi="仿宋" w:eastAsia="仿宋" w:cs="仿宋"/>
          <w:color w:val="010101"/>
          <w:sz w:val="21"/>
          <w:szCs w:val="21"/>
        </w:rPr>
        <w:t>　（二）部门整体支出情况</w:t>
      </w:r>
    </w:p>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　 1、年度预算资金收支结余:</w:t>
      </w:r>
      <w:r>
        <w:rPr>
          <w:rFonts w:hint="eastAsia" w:ascii="仿宋" w:hAnsi="仿宋" w:eastAsia="仿宋" w:cs="仿宋"/>
          <w:i w:val="0"/>
          <w:caps w:val="0"/>
          <w:color w:val="010101"/>
          <w:spacing w:val="0"/>
          <w:sz w:val="21"/>
          <w:szCs w:val="21"/>
          <w:shd w:val="clear" w:fill="FFFFFF"/>
        </w:rPr>
        <w:t>年度预算资金收支结余:</w:t>
      </w:r>
      <w:r>
        <w:rPr>
          <w:rFonts w:hint="eastAsia" w:ascii="仿宋" w:hAnsi="仿宋" w:eastAsia="仿宋" w:cs="仿宋"/>
          <w:i w:val="0"/>
          <w:caps w:val="0"/>
          <w:color w:val="333333"/>
          <w:spacing w:val="0"/>
          <w:sz w:val="21"/>
          <w:szCs w:val="21"/>
          <w:shd w:val="clear" w:fill="FFFFFF"/>
        </w:rPr>
        <w:t>本年</w:t>
      </w:r>
      <w:r>
        <w:rPr>
          <w:rFonts w:hint="eastAsia" w:ascii="仿宋" w:hAnsi="仿宋" w:eastAsia="仿宋" w:cs="仿宋"/>
          <w:i w:val="0"/>
          <w:caps w:val="0"/>
          <w:color w:val="333333"/>
          <w:spacing w:val="0"/>
          <w:sz w:val="21"/>
          <w:szCs w:val="21"/>
          <w:shd w:val="clear" w:fill="FFFFFF"/>
          <w:lang w:eastAsia="zh-CN"/>
        </w:rPr>
        <w:t>年初预算</w:t>
      </w:r>
      <w:r>
        <w:rPr>
          <w:rFonts w:hint="eastAsia" w:ascii="仿宋" w:hAnsi="仿宋" w:eastAsia="仿宋" w:cs="仿宋"/>
          <w:i w:val="0"/>
          <w:caps w:val="0"/>
          <w:color w:val="333333"/>
          <w:spacing w:val="0"/>
          <w:sz w:val="21"/>
          <w:szCs w:val="21"/>
          <w:shd w:val="clear" w:fill="FFFFFF"/>
        </w:rPr>
        <w:t>收入合计</w:t>
      </w:r>
      <w:r>
        <w:rPr>
          <w:rFonts w:hint="eastAsia" w:ascii="仿宋" w:hAnsi="仿宋" w:eastAsia="仿宋" w:cs="仿宋"/>
          <w:i w:val="0"/>
          <w:caps w:val="0"/>
          <w:color w:val="333333"/>
          <w:spacing w:val="0"/>
          <w:sz w:val="21"/>
          <w:szCs w:val="21"/>
          <w:shd w:val="clear" w:fill="FFFFFF"/>
          <w:lang w:val="en-US" w:eastAsia="zh-CN"/>
        </w:rPr>
        <w:t>44.22万</w:t>
      </w:r>
      <w:r>
        <w:rPr>
          <w:rFonts w:hint="eastAsia" w:ascii="仿宋" w:hAnsi="仿宋" w:eastAsia="仿宋" w:cs="仿宋"/>
          <w:i w:val="0"/>
          <w:caps w:val="0"/>
          <w:color w:val="333333"/>
          <w:spacing w:val="0"/>
          <w:sz w:val="21"/>
          <w:szCs w:val="21"/>
          <w:shd w:val="clear" w:fill="FFFFFF"/>
        </w:rPr>
        <w:t>元，本年</w:t>
      </w:r>
      <w:r>
        <w:rPr>
          <w:rFonts w:hint="eastAsia" w:ascii="仿宋" w:hAnsi="仿宋" w:eastAsia="仿宋" w:cs="仿宋"/>
          <w:i w:val="0"/>
          <w:caps w:val="0"/>
          <w:color w:val="333333"/>
          <w:spacing w:val="0"/>
          <w:sz w:val="21"/>
          <w:szCs w:val="21"/>
          <w:shd w:val="clear" w:fill="FFFFFF"/>
          <w:lang w:eastAsia="zh-CN"/>
        </w:rPr>
        <w:t>年初预算支出</w:t>
      </w:r>
      <w:r>
        <w:rPr>
          <w:rFonts w:hint="eastAsia" w:ascii="仿宋" w:hAnsi="仿宋" w:eastAsia="仿宋" w:cs="仿宋"/>
          <w:i w:val="0"/>
          <w:caps w:val="0"/>
          <w:color w:val="333333"/>
          <w:spacing w:val="0"/>
          <w:sz w:val="21"/>
          <w:szCs w:val="21"/>
          <w:shd w:val="clear" w:fill="FFFFFF"/>
        </w:rPr>
        <w:t>合计</w:t>
      </w:r>
      <w:r>
        <w:rPr>
          <w:rFonts w:hint="eastAsia" w:ascii="仿宋" w:hAnsi="仿宋" w:eastAsia="仿宋" w:cs="仿宋"/>
          <w:i w:val="0"/>
          <w:caps w:val="0"/>
          <w:color w:val="333333"/>
          <w:spacing w:val="0"/>
          <w:sz w:val="21"/>
          <w:szCs w:val="21"/>
          <w:shd w:val="clear" w:fill="FFFFFF"/>
          <w:lang w:val="en-US" w:eastAsia="zh-CN"/>
        </w:rPr>
        <w:t>44.22万</w:t>
      </w:r>
      <w:r>
        <w:rPr>
          <w:rFonts w:hint="eastAsia" w:ascii="仿宋" w:hAnsi="仿宋" w:eastAsia="仿宋" w:cs="仿宋"/>
          <w:i w:val="0"/>
          <w:caps w:val="0"/>
          <w:color w:val="333333"/>
          <w:spacing w:val="0"/>
          <w:sz w:val="21"/>
          <w:szCs w:val="21"/>
          <w:shd w:val="clear" w:fill="FFFFFF"/>
        </w:rPr>
        <w:t>元，上年财政拨款结转</w:t>
      </w:r>
      <w:r>
        <w:rPr>
          <w:rFonts w:hint="eastAsia" w:ascii="仿宋" w:hAnsi="仿宋" w:eastAsia="仿宋" w:cs="仿宋"/>
          <w:i w:val="0"/>
          <w:caps w:val="0"/>
          <w:color w:val="333333"/>
          <w:spacing w:val="0"/>
          <w:sz w:val="21"/>
          <w:szCs w:val="21"/>
          <w:shd w:val="clear" w:fill="FFFFFF"/>
          <w:lang w:val="en-US" w:eastAsia="zh-CN"/>
        </w:rPr>
        <w:t>0</w:t>
      </w:r>
      <w:r>
        <w:rPr>
          <w:rFonts w:hint="eastAsia" w:ascii="仿宋" w:hAnsi="仿宋" w:eastAsia="仿宋" w:cs="仿宋"/>
          <w:i w:val="0"/>
          <w:caps w:val="0"/>
          <w:color w:val="333333"/>
          <w:spacing w:val="0"/>
          <w:sz w:val="21"/>
          <w:szCs w:val="21"/>
          <w:shd w:val="clear" w:fill="FFFFFF"/>
        </w:rPr>
        <w:t>元。</w:t>
      </w:r>
    </w:p>
    <w:p>
      <w:pPr>
        <w:autoSpaceDN w:val="0"/>
        <w:ind w:firstLine="465"/>
        <w:rPr>
          <w:rFonts w:hint="eastAsia" w:ascii="仿宋" w:hAnsi="仿宋" w:eastAsia="仿宋" w:cs="仿宋"/>
          <w:color w:val="010101"/>
          <w:sz w:val="21"/>
          <w:szCs w:val="21"/>
        </w:rPr>
      </w:pPr>
      <w:r>
        <w:rPr>
          <w:rFonts w:hint="eastAsia" w:ascii="仿宋" w:hAnsi="仿宋" w:eastAsia="仿宋" w:cs="仿宋"/>
          <w:color w:val="010101"/>
          <w:sz w:val="21"/>
          <w:szCs w:val="21"/>
        </w:rPr>
        <w:t>2、年度财政拨款决算支出情况：</w:t>
      </w:r>
      <w:r>
        <w:rPr>
          <w:rFonts w:hint="eastAsia" w:ascii="仿宋" w:hAnsi="仿宋" w:eastAsia="仿宋" w:cs="仿宋"/>
          <w:color w:val="010101"/>
          <w:sz w:val="21"/>
          <w:szCs w:val="21"/>
          <w:lang w:val="en-US" w:eastAsia="zh-CN"/>
        </w:rPr>
        <w:t>2019年</w:t>
      </w:r>
      <w:r>
        <w:rPr>
          <w:rFonts w:hint="eastAsia" w:ascii="仿宋" w:hAnsi="仿宋" w:eastAsia="仿宋" w:cs="仿宋"/>
          <w:color w:val="010101"/>
          <w:sz w:val="21"/>
          <w:szCs w:val="21"/>
        </w:rPr>
        <w:t>年度财政拨款决算</w:t>
      </w:r>
      <w:r>
        <w:rPr>
          <w:rFonts w:hint="eastAsia" w:ascii="仿宋" w:hAnsi="仿宋" w:eastAsia="仿宋" w:cs="仿宋"/>
          <w:color w:val="010101"/>
          <w:sz w:val="21"/>
          <w:szCs w:val="21"/>
          <w:lang w:eastAsia="zh-CN"/>
        </w:rPr>
        <w:t>收入</w:t>
      </w:r>
      <w:r>
        <w:rPr>
          <w:rFonts w:hint="eastAsia" w:ascii="仿宋" w:hAnsi="仿宋" w:eastAsia="仿宋" w:cs="仿宋"/>
          <w:i w:val="0"/>
          <w:caps w:val="0"/>
          <w:color w:val="333333"/>
          <w:spacing w:val="0"/>
          <w:sz w:val="21"/>
          <w:szCs w:val="21"/>
          <w:shd w:val="clear" w:fill="FFFFFF"/>
          <w:lang w:val="en-US" w:eastAsia="zh-CN"/>
        </w:rPr>
        <w:t>44.22万</w:t>
      </w:r>
      <w:r>
        <w:rPr>
          <w:rFonts w:hint="eastAsia" w:ascii="仿宋" w:hAnsi="仿宋" w:eastAsia="仿宋" w:cs="仿宋"/>
          <w:color w:val="010101"/>
          <w:sz w:val="21"/>
          <w:szCs w:val="21"/>
          <w:lang w:val="en-US" w:eastAsia="zh-CN"/>
        </w:rPr>
        <w:t>元，</w:t>
      </w:r>
      <w:r>
        <w:rPr>
          <w:rFonts w:hint="eastAsia" w:ascii="仿宋" w:hAnsi="仿宋" w:eastAsia="仿宋" w:cs="仿宋"/>
          <w:color w:val="010101"/>
          <w:sz w:val="21"/>
          <w:szCs w:val="21"/>
        </w:rPr>
        <w:t>决算支出</w:t>
      </w:r>
      <w:r>
        <w:rPr>
          <w:rFonts w:hint="eastAsia" w:ascii="仿宋" w:hAnsi="仿宋" w:eastAsia="仿宋" w:cs="仿宋"/>
          <w:i w:val="0"/>
          <w:caps w:val="0"/>
          <w:color w:val="333333"/>
          <w:spacing w:val="0"/>
          <w:sz w:val="21"/>
          <w:szCs w:val="21"/>
          <w:shd w:val="clear" w:fill="FFFFFF"/>
          <w:lang w:val="en-US" w:eastAsia="zh-CN"/>
        </w:rPr>
        <w:t>44.22万</w:t>
      </w:r>
      <w:r>
        <w:rPr>
          <w:rFonts w:hint="eastAsia" w:ascii="仿宋" w:hAnsi="仿宋" w:eastAsia="仿宋" w:cs="仿宋"/>
          <w:color w:val="010101"/>
          <w:sz w:val="21"/>
          <w:szCs w:val="21"/>
          <w:lang w:val="en-US" w:eastAsia="zh-CN"/>
        </w:rPr>
        <w:t>元。</w:t>
      </w:r>
      <w:r>
        <w:rPr>
          <w:rFonts w:hint="eastAsia" w:ascii="仿宋" w:hAnsi="仿宋" w:eastAsia="仿宋" w:cs="仿宋"/>
          <w:i w:val="0"/>
          <w:caps w:val="0"/>
          <w:color w:val="333333"/>
          <w:spacing w:val="0"/>
          <w:sz w:val="21"/>
          <w:szCs w:val="21"/>
          <w:shd w:val="clear" w:fill="FFFFFF"/>
        </w:rPr>
        <w:t>收支结余</w:t>
      </w:r>
      <w:r>
        <w:rPr>
          <w:rFonts w:hint="eastAsia" w:ascii="仿宋" w:hAnsi="仿宋" w:eastAsia="仿宋" w:cs="仿宋"/>
          <w:i w:val="0"/>
          <w:caps w:val="0"/>
          <w:color w:val="333333"/>
          <w:spacing w:val="0"/>
          <w:sz w:val="21"/>
          <w:szCs w:val="21"/>
          <w:shd w:val="clear" w:fill="FFFFFF"/>
          <w:lang w:val="en-US" w:eastAsia="zh-CN"/>
        </w:rPr>
        <w:t>0</w:t>
      </w:r>
      <w:r>
        <w:rPr>
          <w:rFonts w:hint="eastAsia" w:ascii="仿宋" w:hAnsi="仿宋" w:eastAsia="仿宋" w:cs="仿宋"/>
          <w:i w:val="0"/>
          <w:caps w:val="0"/>
          <w:color w:val="333333"/>
          <w:spacing w:val="0"/>
          <w:sz w:val="21"/>
          <w:szCs w:val="21"/>
          <w:shd w:val="clear" w:fill="FFFFFF"/>
        </w:rPr>
        <w:t>元</w:t>
      </w:r>
      <w:r>
        <w:rPr>
          <w:rFonts w:hint="eastAsia" w:ascii="仿宋" w:hAnsi="仿宋" w:eastAsia="仿宋" w:cs="仿宋"/>
          <w:i w:val="0"/>
          <w:caps w:val="0"/>
          <w:color w:val="333333"/>
          <w:spacing w:val="0"/>
          <w:sz w:val="21"/>
          <w:szCs w:val="21"/>
          <w:shd w:val="clear" w:fill="FFFFFF"/>
          <w:lang w:eastAsia="zh-CN"/>
        </w:rPr>
        <w:t>。</w:t>
      </w:r>
    </w:p>
    <w:p>
      <w:pPr>
        <w:autoSpaceDN w:val="0"/>
        <w:outlineLvl w:val="0"/>
        <w:rPr>
          <w:rFonts w:hint="eastAsia" w:ascii="仿宋" w:hAnsi="仿宋" w:eastAsia="仿宋" w:cs="仿宋"/>
          <w:color w:val="010101"/>
          <w:sz w:val="21"/>
          <w:szCs w:val="21"/>
        </w:rPr>
      </w:pPr>
      <w:r>
        <w:rPr>
          <w:rFonts w:hint="eastAsia" w:ascii="仿宋" w:hAnsi="仿宋" w:eastAsia="仿宋" w:cs="仿宋"/>
          <w:color w:val="010101"/>
          <w:sz w:val="21"/>
          <w:szCs w:val="21"/>
        </w:rPr>
        <w:t xml:space="preserve">　二、部门整体支出管理及使用情况 </w:t>
      </w:r>
    </w:p>
    <w:p>
      <w:pPr>
        <w:autoSpaceDN w:val="0"/>
        <w:ind w:firstLine="465"/>
        <w:rPr>
          <w:rFonts w:hint="eastAsia" w:ascii="仿宋" w:hAnsi="仿宋" w:eastAsia="仿宋" w:cs="仿宋"/>
          <w:color w:val="010101"/>
          <w:sz w:val="21"/>
          <w:szCs w:val="21"/>
        </w:rPr>
      </w:pPr>
      <w:r>
        <w:rPr>
          <w:rFonts w:hint="eastAsia" w:ascii="仿宋" w:hAnsi="仿宋" w:eastAsia="仿宋" w:cs="仿宋"/>
          <w:color w:val="010101"/>
          <w:sz w:val="21"/>
          <w:szCs w:val="21"/>
        </w:rPr>
        <w:t>财务规章制度执行及完善情况：</w:t>
      </w:r>
      <w:r>
        <w:rPr>
          <w:rFonts w:hint="eastAsia" w:ascii="仿宋" w:hAnsi="仿宋" w:eastAsia="仿宋" w:cs="仿宋"/>
          <w:i w:val="0"/>
          <w:caps w:val="0"/>
          <w:color w:val="010101"/>
          <w:spacing w:val="0"/>
          <w:sz w:val="21"/>
          <w:szCs w:val="21"/>
          <w:shd w:val="clear" w:fill="FFFFFF"/>
        </w:rPr>
        <w:t>财务规章制度执行及完善情况：1</w:t>
      </w:r>
      <w:r>
        <w:rPr>
          <w:rFonts w:hint="eastAsia" w:ascii="仿宋" w:hAnsi="仿宋" w:eastAsia="仿宋" w:cs="仿宋"/>
          <w:i w:val="0"/>
          <w:caps w:val="0"/>
          <w:color w:val="333333"/>
          <w:spacing w:val="0"/>
          <w:sz w:val="21"/>
          <w:szCs w:val="21"/>
          <w:shd w:val="clear" w:fill="FFFFFF"/>
        </w:rPr>
        <w:t>、遵守国家有关财务规章制度，严格按照批准的支出预算执行。2、健全规章制度，完善监督约束机制。有章可依、照章办事，是行政事业单位支出管理的重要环节。3、各项支出要全部纳入单位预算，统一核算和管理。4、厉行节约，加强经费开支的计划性，优化支出结构。5、做好财务管理的基础工作，强化经费开支的日常管理。6、加强资金使用效率的考核与检查，强化财务管理监督控制职能。</w:t>
      </w:r>
    </w:p>
    <w:p>
      <w:pPr>
        <w:autoSpaceDN w:val="0"/>
        <w:outlineLvl w:val="0"/>
        <w:rPr>
          <w:rFonts w:hint="eastAsia" w:ascii="仿宋" w:hAnsi="仿宋" w:eastAsia="仿宋" w:cs="仿宋"/>
          <w:color w:val="010101"/>
          <w:sz w:val="21"/>
          <w:szCs w:val="21"/>
        </w:rPr>
      </w:pPr>
      <w:r>
        <w:rPr>
          <w:rFonts w:hint="eastAsia" w:ascii="仿宋" w:hAnsi="仿宋" w:eastAsia="仿宋" w:cs="仿宋"/>
          <w:color w:val="010101"/>
          <w:sz w:val="21"/>
          <w:szCs w:val="21"/>
        </w:rPr>
        <w:t>　（一）基本支出</w:t>
      </w:r>
    </w:p>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　　基本支出用于为保障机构正常运转、完成日常工作任务而发生的支出，包括人员经费和公用经费。</w:t>
      </w:r>
    </w:p>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　　2019年年初预算批复的基本支出为</w:t>
      </w:r>
      <w:r>
        <w:rPr>
          <w:rFonts w:hint="eastAsia" w:ascii="仿宋" w:hAnsi="仿宋" w:eastAsia="仿宋" w:cs="仿宋"/>
          <w:i w:val="0"/>
          <w:caps w:val="0"/>
          <w:color w:val="333333"/>
          <w:spacing w:val="0"/>
          <w:sz w:val="21"/>
          <w:szCs w:val="21"/>
          <w:shd w:val="clear" w:fill="FFFFFF"/>
          <w:lang w:val="en-US" w:eastAsia="zh-CN"/>
        </w:rPr>
        <w:t>44.22万</w:t>
      </w:r>
      <w:r>
        <w:rPr>
          <w:rFonts w:hint="eastAsia" w:ascii="仿宋" w:hAnsi="仿宋" w:eastAsia="仿宋" w:cs="仿宋"/>
          <w:color w:val="010101"/>
          <w:sz w:val="21"/>
          <w:szCs w:val="21"/>
        </w:rPr>
        <w:t>万元，年中追加</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万元（占年初预算批复数</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%），上年指标结转</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万元，全年财政拨款收入为</w:t>
      </w:r>
      <w:r>
        <w:rPr>
          <w:rFonts w:hint="eastAsia" w:ascii="仿宋" w:hAnsi="仿宋" w:eastAsia="仿宋" w:cs="仿宋"/>
          <w:i w:val="0"/>
          <w:caps w:val="0"/>
          <w:color w:val="333333"/>
          <w:spacing w:val="0"/>
          <w:sz w:val="21"/>
          <w:szCs w:val="21"/>
          <w:shd w:val="clear" w:fill="FFFFFF"/>
          <w:lang w:val="en-US" w:eastAsia="zh-CN"/>
        </w:rPr>
        <w:t>44.22万</w:t>
      </w:r>
      <w:r>
        <w:rPr>
          <w:rFonts w:hint="eastAsia" w:ascii="仿宋" w:hAnsi="仿宋" w:eastAsia="仿宋" w:cs="仿宋"/>
          <w:color w:val="010101"/>
          <w:sz w:val="21"/>
          <w:szCs w:val="21"/>
          <w:lang w:val="en-US" w:eastAsia="zh-CN"/>
        </w:rPr>
        <w:t>万</w:t>
      </w:r>
      <w:r>
        <w:rPr>
          <w:rFonts w:hint="eastAsia" w:ascii="仿宋" w:hAnsi="仿宋" w:eastAsia="仿宋" w:cs="仿宋"/>
          <w:color w:val="010101"/>
          <w:sz w:val="21"/>
          <w:szCs w:val="21"/>
        </w:rPr>
        <w:t>元。全年财政拨款支出为</w:t>
      </w:r>
      <w:r>
        <w:rPr>
          <w:rFonts w:hint="eastAsia" w:ascii="仿宋" w:hAnsi="仿宋" w:eastAsia="仿宋" w:cs="仿宋"/>
          <w:i w:val="0"/>
          <w:caps w:val="0"/>
          <w:color w:val="333333"/>
          <w:spacing w:val="0"/>
          <w:sz w:val="21"/>
          <w:szCs w:val="21"/>
          <w:shd w:val="clear" w:fill="FFFFFF"/>
          <w:lang w:val="en-US" w:eastAsia="zh-CN"/>
        </w:rPr>
        <w:t>44.22万</w:t>
      </w:r>
      <w:r>
        <w:rPr>
          <w:rFonts w:hint="eastAsia" w:ascii="仿宋" w:hAnsi="仿宋" w:eastAsia="仿宋" w:cs="仿宋"/>
          <w:color w:val="010101"/>
          <w:sz w:val="21"/>
          <w:szCs w:val="21"/>
        </w:rPr>
        <w:t>万元，本年财政拨款收支差额</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万元。2019年年初财政拨款结转和结余</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万元，年末财政拨款结转和结余</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w:t>
      </w:r>
    </w:p>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　　2019年决算基本支出</w:t>
      </w:r>
      <w:r>
        <w:rPr>
          <w:rFonts w:hint="eastAsia" w:ascii="仿宋" w:hAnsi="仿宋" w:eastAsia="仿宋" w:cs="仿宋"/>
          <w:i w:val="0"/>
          <w:caps w:val="0"/>
          <w:color w:val="333333"/>
          <w:spacing w:val="0"/>
          <w:sz w:val="21"/>
          <w:szCs w:val="21"/>
          <w:shd w:val="clear" w:fill="FFFFFF"/>
          <w:lang w:val="en-US" w:eastAsia="zh-CN"/>
        </w:rPr>
        <w:t>44.22万</w:t>
      </w:r>
      <w:r>
        <w:rPr>
          <w:rFonts w:hint="eastAsia" w:ascii="仿宋" w:hAnsi="仿宋" w:eastAsia="仿宋" w:cs="仿宋"/>
          <w:color w:val="010101"/>
          <w:sz w:val="21"/>
          <w:szCs w:val="21"/>
        </w:rPr>
        <w:t>万元，其中：工资福利支出</w:t>
      </w:r>
      <w:r>
        <w:rPr>
          <w:rFonts w:hint="eastAsia" w:ascii="仿宋" w:hAnsi="仿宋" w:eastAsia="仿宋" w:cs="仿宋"/>
          <w:color w:val="010101"/>
          <w:sz w:val="21"/>
          <w:szCs w:val="21"/>
          <w:lang w:val="en-US" w:eastAsia="zh-CN"/>
        </w:rPr>
        <w:t>41</w:t>
      </w:r>
      <w:r>
        <w:rPr>
          <w:rFonts w:hint="eastAsia" w:ascii="仿宋" w:hAnsi="仿宋" w:eastAsia="仿宋" w:cs="仿宋"/>
          <w:color w:val="010101"/>
          <w:sz w:val="21"/>
          <w:szCs w:val="21"/>
        </w:rPr>
        <w:t>万元、商品和服务支出</w:t>
      </w:r>
      <w:r>
        <w:rPr>
          <w:rFonts w:hint="eastAsia" w:ascii="仿宋" w:hAnsi="仿宋" w:eastAsia="仿宋" w:cs="仿宋"/>
          <w:color w:val="010101"/>
          <w:sz w:val="21"/>
          <w:szCs w:val="21"/>
          <w:lang w:val="en-US" w:eastAsia="zh-CN"/>
        </w:rPr>
        <w:t>3.22</w:t>
      </w:r>
      <w:r>
        <w:rPr>
          <w:rFonts w:hint="eastAsia" w:ascii="仿宋" w:hAnsi="仿宋" w:eastAsia="仿宋" w:cs="仿宋"/>
          <w:color w:val="010101"/>
          <w:sz w:val="21"/>
          <w:szCs w:val="21"/>
        </w:rPr>
        <w:t>万元、对个人和家庭的补助</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万元。决算数与年初预算指标对比，基本支出差异</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万元，其中工资福利支出差异</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w:t>
      </w:r>
      <w:r>
        <w:rPr>
          <w:rFonts w:hint="eastAsia" w:ascii="仿宋" w:hAnsi="仿宋" w:eastAsia="仿宋" w:cs="仿宋"/>
          <w:color w:val="010101"/>
          <w:sz w:val="21"/>
          <w:szCs w:val="21"/>
          <w:lang w:eastAsia="zh-CN"/>
        </w:rPr>
        <w:t>；</w:t>
      </w:r>
      <w:r>
        <w:rPr>
          <w:rFonts w:hint="eastAsia" w:ascii="仿宋" w:hAnsi="仿宋" w:eastAsia="仿宋" w:cs="仿宋"/>
          <w:color w:val="010101"/>
          <w:sz w:val="21"/>
          <w:szCs w:val="21"/>
        </w:rPr>
        <w:t>商品和服务支出差异</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w:t>
      </w:r>
    </w:p>
    <w:p>
      <w:pPr>
        <w:autoSpaceDN w:val="0"/>
        <w:outlineLvl w:val="0"/>
        <w:rPr>
          <w:rFonts w:hint="eastAsia" w:ascii="仿宋" w:hAnsi="仿宋" w:eastAsia="仿宋" w:cs="仿宋"/>
          <w:color w:val="010101"/>
          <w:sz w:val="21"/>
          <w:szCs w:val="21"/>
        </w:rPr>
      </w:pPr>
      <w:r>
        <w:rPr>
          <w:rFonts w:hint="eastAsia" w:ascii="仿宋" w:hAnsi="仿宋" w:eastAsia="仿宋" w:cs="仿宋"/>
          <w:color w:val="010101"/>
          <w:sz w:val="21"/>
          <w:szCs w:val="21"/>
        </w:rPr>
        <w:t>　　（二）项目支出</w:t>
      </w:r>
    </w:p>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　　项目支出是在基本支出之外为完成其特定的行政工作任务而发生的支出，主要用于一般行政管理事务、</w:t>
      </w:r>
      <w:r>
        <w:rPr>
          <w:rFonts w:hint="eastAsia" w:ascii="仿宋" w:hAnsi="仿宋" w:eastAsia="仿宋" w:cs="仿宋"/>
          <w:color w:val="010101"/>
          <w:sz w:val="21"/>
          <w:szCs w:val="21"/>
          <w:lang w:eastAsia="zh-CN"/>
        </w:rPr>
        <w:t>项目</w:t>
      </w:r>
      <w:r>
        <w:rPr>
          <w:rFonts w:hint="eastAsia" w:ascii="仿宋" w:hAnsi="仿宋" w:eastAsia="仿宋" w:cs="仿宋"/>
          <w:color w:val="010101"/>
          <w:sz w:val="21"/>
          <w:szCs w:val="21"/>
        </w:rPr>
        <w:t>等其他行政管理事务支出。</w:t>
      </w:r>
    </w:p>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　　2019年年初预算批复的项目支出为</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万元，年中追加</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万元，全年财政拨款收入</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万元。全年财政拨款支出为</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万元，本年财政拨款收支差额</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万元。2019年年末财政拨款结转和结余</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w:t>
      </w:r>
    </w:p>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　　2019年决算项目支出为</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万元，其中：其他资本性支出</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w:t>
      </w:r>
    </w:p>
    <w:p>
      <w:pPr>
        <w:autoSpaceDN w:val="0"/>
        <w:outlineLvl w:val="0"/>
        <w:rPr>
          <w:rFonts w:hint="eastAsia" w:ascii="仿宋" w:hAnsi="仿宋" w:eastAsia="仿宋" w:cs="仿宋"/>
          <w:color w:val="010101"/>
          <w:sz w:val="21"/>
          <w:szCs w:val="21"/>
        </w:rPr>
      </w:pPr>
      <w:r>
        <w:rPr>
          <w:rFonts w:hint="eastAsia" w:ascii="仿宋" w:hAnsi="仿宋" w:eastAsia="仿宋" w:cs="仿宋"/>
          <w:color w:val="010101"/>
          <w:sz w:val="21"/>
          <w:szCs w:val="21"/>
        </w:rPr>
        <w:t>　　（三）“三公”经费情况</w:t>
      </w:r>
    </w:p>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2019年初批复预算的“三公”经费为</w:t>
      </w:r>
      <w:r>
        <w:rPr>
          <w:rFonts w:hint="eastAsia" w:ascii="仿宋" w:hAnsi="仿宋" w:eastAsia="仿宋" w:cs="仿宋"/>
          <w:color w:val="010101"/>
          <w:sz w:val="21"/>
          <w:szCs w:val="21"/>
          <w:lang w:val="en-US" w:eastAsia="zh-CN"/>
        </w:rPr>
        <w:t>4.5</w:t>
      </w:r>
      <w:r>
        <w:rPr>
          <w:rFonts w:hint="eastAsia" w:ascii="仿宋" w:hAnsi="仿宋" w:eastAsia="仿宋" w:cs="仿宋"/>
          <w:color w:val="010101"/>
          <w:sz w:val="21"/>
          <w:szCs w:val="21"/>
        </w:rPr>
        <w:t>万元，其中公务接待费</w:t>
      </w:r>
      <w:r>
        <w:rPr>
          <w:rFonts w:hint="eastAsia" w:ascii="仿宋" w:hAnsi="仿宋" w:eastAsia="仿宋" w:cs="仿宋"/>
          <w:color w:val="010101"/>
          <w:sz w:val="21"/>
          <w:szCs w:val="21"/>
          <w:lang w:val="en-US" w:eastAsia="zh-CN"/>
        </w:rPr>
        <w:t>4.5</w:t>
      </w:r>
      <w:r>
        <w:rPr>
          <w:rFonts w:hint="eastAsia" w:ascii="仿宋" w:hAnsi="仿宋" w:eastAsia="仿宋" w:cs="仿宋"/>
          <w:color w:val="010101"/>
          <w:sz w:val="21"/>
          <w:szCs w:val="21"/>
        </w:rPr>
        <w:t>万元、公务用车购置及运行维护费</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w:t>
      </w:r>
    </w:p>
    <w:p>
      <w:pPr>
        <w:autoSpaceDN w:val="0"/>
        <w:jc w:val="left"/>
        <w:rPr>
          <w:rFonts w:hint="eastAsia" w:ascii="仿宋" w:hAnsi="仿宋" w:eastAsia="仿宋" w:cs="仿宋"/>
          <w:color w:val="010101"/>
          <w:sz w:val="21"/>
          <w:szCs w:val="21"/>
        </w:rPr>
      </w:pPr>
      <w:r>
        <w:rPr>
          <w:rFonts w:hint="eastAsia" w:ascii="仿宋" w:hAnsi="仿宋" w:eastAsia="仿宋" w:cs="仿宋"/>
          <w:color w:val="010101"/>
          <w:sz w:val="21"/>
          <w:szCs w:val="21"/>
        </w:rPr>
        <w:t>全年决算支出“三公”经</w:t>
      </w:r>
      <w:r>
        <w:rPr>
          <w:rFonts w:hint="eastAsia" w:ascii="仿宋" w:hAnsi="仿宋" w:eastAsia="仿宋" w:cs="仿宋"/>
          <w:color w:val="010101"/>
          <w:sz w:val="21"/>
          <w:szCs w:val="21"/>
          <w:lang w:eastAsia="zh-CN"/>
        </w:rPr>
        <w:t>费</w:t>
      </w:r>
      <w:r>
        <w:rPr>
          <w:rFonts w:hint="eastAsia" w:ascii="仿宋" w:hAnsi="仿宋" w:eastAsia="仿宋" w:cs="仿宋"/>
          <w:color w:val="010101"/>
          <w:sz w:val="21"/>
          <w:szCs w:val="21"/>
          <w:lang w:val="en-US" w:eastAsia="zh-CN"/>
        </w:rPr>
        <w:t>4.5</w:t>
      </w:r>
      <w:r>
        <w:rPr>
          <w:rFonts w:hint="eastAsia" w:ascii="仿宋" w:hAnsi="仿宋" w:eastAsia="仿宋" w:cs="仿宋"/>
          <w:color w:val="010101"/>
          <w:sz w:val="21"/>
          <w:szCs w:val="21"/>
        </w:rPr>
        <w:t>万元，其中公务接待费</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万元、公务用车购置及运行维护费</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万元。较上年决算支出</w:t>
      </w:r>
      <w:r>
        <w:rPr>
          <w:rFonts w:hint="eastAsia" w:ascii="仿宋" w:hAnsi="仿宋" w:eastAsia="仿宋" w:cs="仿宋"/>
          <w:color w:val="010101"/>
          <w:sz w:val="21"/>
          <w:szCs w:val="21"/>
          <w:lang w:eastAsia="zh-CN"/>
        </w:rPr>
        <w:t>增加</w:t>
      </w:r>
      <w:r>
        <w:rPr>
          <w:rFonts w:hint="eastAsia" w:ascii="仿宋" w:hAnsi="仿宋" w:eastAsia="仿宋" w:cs="仿宋"/>
          <w:color w:val="010101"/>
          <w:sz w:val="21"/>
          <w:szCs w:val="21"/>
          <w:lang w:val="en-US" w:eastAsia="zh-CN"/>
        </w:rPr>
        <w:t>3.2</w:t>
      </w:r>
      <w:r>
        <w:rPr>
          <w:rFonts w:hint="eastAsia" w:ascii="仿宋" w:hAnsi="仿宋" w:eastAsia="仿宋" w:cs="仿宋"/>
          <w:color w:val="010101"/>
          <w:sz w:val="21"/>
          <w:szCs w:val="21"/>
        </w:rPr>
        <w:t>万元，</w:t>
      </w:r>
      <w:r>
        <w:rPr>
          <w:rFonts w:hint="eastAsia" w:ascii="仿宋" w:hAnsi="仿宋" w:eastAsia="仿宋" w:cs="仿宋"/>
          <w:color w:val="010101"/>
          <w:sz w:val="21"/>
          <w:szCs w:val="21"/>
          <w:lang w:eastAsia="zh-CN"/>
        </w:rPr>
        <w:t>上升</w:t>
      </w:r>
      <w:r>
        <w:rPr>
          <w:rFonts w:hint="eastAsia" w:ascii="仿宋" w:hAnsi="仿宋" w:eastAsia="仿宋" w:cs="仿宋"/>
          <w:color w:val="010101"/>
          <w:sz w:val="21"/>
          <w:szCs w:val="21"/>
          <w:lang w:val="en-US" w:eastAsia="zh-CN"/>
        </w:rPr>
        <w:t>246</w:t>
      </w:r>
      <w:r>
        <w:rPr>
          <w:rFonts w:hint="eastAsia" w:ascii="仿宋" w:hAnsi="仿宋" w:eastAsia="仿宋" w:cs="仿宋"/>
          <w:color w:val="010101"/>
          <w:sz w:val="21"/>
          <w:szCs w:val="21"/>
        </w:rPr>
        <w:t>%；较年初预算节约</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万元，节约比为</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，完成年初预算的</w:t>
      </w:r>
      <w:r>
        <w:rPr>
          <w:rFonts w:hint="eastAsia" w:ascii="仿宋" w:hAnsi="仿宋" w:eastAsia="仿宋" w:cs="仿宋"/>
          <w:color w:val="010101"/>
          <w:sz w:val="21"/>
          <w:szCs w:val="21"/>
          <w:lang w:val="en-US" w:eastAsia="zh-CN"/>
        </w:rPr>
        <w:t>100</w:t>
      </w:r>
      <w:r>
        <w:rPr>
          <w:rFonts w:hint="eastAsia" w:ascii="仿宋" w:hAnsi="仿宋" w:eastAsia="仿宋" w:cs="仿宋"/>
          <w:color w:val="010101"/>
          <w:sz w:val="21"/>
          <w:szCs w:val="21"/>
        </w:rPr>
        <w:t xml:space="preserve">%。具体情况列表如下： </w:t>
      </w:r>
    </w:p>
    <w:p>
      <w:pPr>
        <w:autoSpaceDN w:val="0"/>
        <w:ind w:left="5760" w:hanging="3780" w:hangingChars="1800"/>
        <w:jc w:val="left"/>
        <w:rPr>
          <w:rFonts w:hint="eastAsia" w:ascii="仿宋" w:hAnsi="仿宋" w:eastAsia="仿宋" w:cs="仿宋"/>
          <w:color w:val="010101"/>
          <w:sz w:val="21"/>
          <w:szCs w:val="21"/>
        </w:rPr>
      </w:pPr>
      <w:r>
        <w:rPr>
          <w:rFonts w:hint="eastAsia" w:ascii="仿宋" w:hAnsi="仿宋" w:eastAsia="仿宋" w:cs="仿宋"/>
          <w:color w:val="010101"/>
          <w:sz w:val="21"/>
          <w:szCs w:val="21"/>
        </w:rPr>
        <w:t xml:space="preserve">                                                                    金额单位：万元</w:t>
      </w:r>
    </w:p>
    <w:tbl>
      <w:tblPr>
        <w:tblStyle w:val="8"/>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418"/>
        <w:gridCol w:w="1417"/>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376" w:type="dxa"/>
          </w:tcPr>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　项目</w:t>
            </w:r>
          </w:p>
        </w:tc>
        <w:tc>
          <w:tcPr>
            <w:tcW w:w="1418" w:type="dxa"/>
          </w:tcPr>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年初预算数</w:t>
            </w:r>
          </w:p>
        </w:tc>
        <w:tc>
          <w:tcPr>
            <w:tcW w:w="1417" w:type="dxa"/>
          </w:tcPr>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年末决算数</w:t>
            </w:r>
          </w:p>
        </w:tc>
        <w:tc>
          <w:tcPr>
            <w:tcW w:w="1418" w:type="dxa"/>
          </w:tcPr>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金额差异</w:t>
            </w:r>
          </w:p>
        </w:tc>
        <w:tc>
          <w:tcPr>
            <w:tcW w:w="1559" w:type="dxa"/>
          </w:tcPr>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节约比率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376" w:type="dxa"/>
          </w:tcPr>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公务接待费</w:t>
            </w:r>
          </w:p>
        </w:tc>
        <w:tc>
          <w:tcPr>
            <w:tcW w:w="1418" w:type="dxa"/>
          </w:tcPr>
          <w:p>
            <w:pPr>
              <w:autoSpaceDN w:val="0"/>
              <w:rPr>
                <w:rFonts w:hint="default" w:ascii="仿宋" w:hAnsi="仿宋" w:eastAsia="仿宋" w:cs="仿宋"/>
                <w:color w:val="010101"/>
                <w:sz w:val="21"/>
                <w:szCs w:val="21"/>
                <w:lang w:val="en-US" w:eastAsia="zh-CN"/>
              </w:rPr>
            </w:pPr>
            <w:r>
              <w:rPr>
                <w:rFonts w:hint="eastAsia" w:ascii="仿宋" w:hAnsi="仿宋" w:eastAsia="仿宋" w:cs="仿宋"/>
                <w:color w:val="010101"/>
                <w:sz w:val="21"/>
                <w:szCs w:val="21"/>
                <w:lang w:val="en-US" w:eastAsia="zh-CN"/>
              </w:rPr>
              <w:t>4.5</w:t>
            </w:r>
          </w:p>
        </w:tc>
        <w:tc>
          <w:tcPr>
            <w:tcW w:w="1417" w:type="dxa"/>
          </w:tcPr>
          <w:p>
            <w:pPr>
              <w:autoSpaceDN w:val="0"/>
              <w:rPr>
                <w:rFonts w:hint="default" w:ascii="仿宋" w:hAnsi="仿宋" w:eastAsia="仿宋" w:cs="仿宋"/>
                <w:color w:val="010101"/>
                <w:sz w:val="21"/>
                <w:szCs w:val="21"/>
                <w:lang w:val="en-US" w:eastAsia="zh-CN"/>
              </w:rPr>
            </w:pPr>
            <w:r>
              <w:rPr>
                <w:rFonts w:hint="eastAsia" w:ascii="仿宋" w:hAnsi="仿宋" w:eastAsia="仿宋" w:cs="仿宋"/>
                <w:color w:val="010101"/>
                <w:sz w:val="21"/>
                <w:szCs w:val="21"/>
                <w:lang w:val="en-US" w:eastAsia="zh-CN"/>
              </w:rPr>
              <w:t>4.5</w:t>
            </w:r>
          </w:p>
        </w:tc>
        <w:tc>
          <w:tcPr>
            <w:tcW w:w="1418" w:type="dxa"/>
          </w:tcPr>
          <w:p>
            <w:pPr>
              <w:autoSpaceDN w:val="0"/>
              <w:rPr>
                <w:rFonts w:hint="eastAsia" w:ascii="仿宋" w:hAnsi="仿宋" w:eastAsia="仿宋" w:cs="仿宋"/>
                <w:color w:val="010101"/>
                <w:sz w:val="21"/>
                <w:szCs w:val="21"/>
                <w:lang w:val="en-US" w:eastAsia="zh-CN"/>
              </w:rPr>
            </w:pPr>
            <w:r>
              <w:rPr>
                <w:rFonts w:hint="eastAsia" w:ascii="仿宋" w:hAnsi="仿宋" w:eastAsia="仿宋" w:cs="仿宋"/>
                <w:color w:val="010101"/>
                <w:sz w:val="21"/>
                <w:szCs w:val="21"/>
                <w:lang w:val="en-US" w:eastAsia="zh-CN"/>
              </w:rPr>
              <w:t>0</w:t>
            </w:r>
          </w:p>
        </w:tc>
        <w:tc>
          <w:tcPr>
            <w:tcW w:w="1559" w:type="dxa"/>
          </w:tcPr>
          <w:p>
            <w:pPr>
              <w:autoSpaceDN w:val="0"/>
              <w:rPr>
                <w:rFonts w:hint="eastAsia" w:ascii="仿宋" w:hAnsi="仿宋" w:eastAsia="仿宋" w:cs="仿宋"/>
                <w:color w:val="010101"/>
                <w:sz w:val="21"/>
                <w:szCs w:val="21"/>
                <w:lang w:val="en-US" w:eastAsia="zh-CN"/>
              </w:rPr>
            </w:pPr>
            <w:r>
              <w:rPr>
                <w:rFonts w:hint="eastAsia" w:ascii="仿宋" w:hAnsi="仿宋" w:eastAsia="仿宋" w:cs="仿宋"/>
                <w:color w:val="01010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376" w:type="dxa"/>
          </w:tcPr>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公务用车购置及运行维护费</w:t>
            </w:r>
          </w:p>
        </w:tc>
        <w:tc>
          <w:tcPr>
            <w:tcW w:w="1418" w:type="dxa"/>
          </w:tcPr>
          <w:p>
            <w:pPr>
              <w:autoSpaceDN w:val="0"/>
              <w:rPr>
                <w:rFonts w:hint="eastAsia" w:ascii="仿宋" w:hAnsi="仿宋" w:eastAsia="仿宋" w:cs="仿宋"/>
                <w:color w:val="010101"/>
                <w:sz w:val="21"/>
                <w:szCs w:val="21"/>
                <w:lang w:val="en-US" w:eastAsia="zh-CN"/>
              </w:rPr>
            </w:pPr>
            <w:r>
              <w:rPr>
                <w:rFonts w:hint="eastAsia" w:ascii="仿宋" w:hAnsi="仿宋" w:eastAsia="仿宋" w:cs="仿宋"/>
                <w:color w:val="010101"/>
                <w:sz w:val="21"/>
                <w:szCs w:val="21"/>
                <w:lang w:val="en-US" w:eastAsia="zh-CN"/>
              </w:rPr>
              <w:t>0</w:t>
            </w:r>
          </w:p>
        </w:tc>
        <w:tc>
          <w:tcPr>
            <w:tcW w:w="1417" w:type="dxa"/>
          </w:tcPr>
          <w:p>
            <w:pPr>
              <w:autoSpaceDN w:val="0"/>
              <w:rPr>
                <w:rFonts w:hint="eastAsia" w:ascii="仿宋" w:hAnsi="仿宋" w:eastAsia="仿宋" w:cs="仿宋"/>
                <w:color w:val="010101"/>
                <w:sz w:val="21"/>
                <w:szCs w:val="21"/>
                <w:lang w:val="en-US" w:eastAsia="zh-CN"/>
              </w:rPr>
            </w:pPr>
            <w:r>
              <w:rPr>
                <w:rFonts w:hint="eastAsia" w:ascii="仿宋" w:hAnsi="仿宋" w:eastAsia="仿宋" w:cs="仿宋"/>
                <w:color w:val="010101"/>
                <w:sz w:val="21"/>
                <w:szCs w:val="21"/>
                <w:lang w:val="en-US" w:eastAsia="zh-CN"/>
              </w:rPr>
              <w:t>0</w:t>
            </w:r>
          </w:p>
        </w:tc>
        <w:tc>
          <w:tcPr>
            <w:tcW w:w="1418" w:type="dxa"/>
          </w:tcPr>
          <w:p>
            <w:pPr>
              <w:autoSpaceDN w:val="0"/>
              <w:rPr>
                <w:rFonts w:hint="eastAsia" w:ascii="仿宋" w:hAnsi="仿宋" w:eastAsia="仿宋" w:cs="仿宋"/>
                <w:color w:val="010101"/>
                <w:sz w:val="21"/>
                <w:szCs w:val="21"/>
                <w:lang w:val="en-US" w:eastAsia="zh-CN"/>
              </w:rPr>
            </w:pPr>
            <w:r>
              <w:rPr>
                <w:rFonts w:hint="eastAsia" w:ascii="仿宋" w:hAnsi="仿宋" w:eastAsia="仿宋" w:cs="仿宋"/>
                <w:color w:val="010101"/>
                <w:sz w:val="21"/>
                <w:szCs w:val="21"/>
                <w:lang w:val="en-US" w:eastAsia="zh-CN"/>
              </w:rPr>
              <w:t>0</w:t>
            </w:r>
          </w:p>
        </w:tc>
        <w:tc>
          <w:tcPr>
            <w:tcW w:w="1559" w:type="dxa"/>
          </w:tcPr>
          <w:p>
            <w:pPr>
              <w:autoSpaceDN w:val="0"/>
              <w:rPr>
                <w:rFonts w:hint="eastAsia" w:ascii="仿宋" w:hAnsi="仿宋" w:eastAsia="仿宋" w:cs="仿宋"/>
                <w:color w:val="010101"/>
                <w:sz w:val="21"/>
                <w:szCs w:val="21"/>
                <w:lang w:val="en-US" w:eastAsia="zh-CN"/>
              </w:rPr>
            </w:pPr>
            <w:r>
              <w:rPr>
                <w:rFonts w:hint="eastAsia" w:ascii="仿宋" w:hAnsi="仿宋" w:eastAsia="仿宋" w:cs="仿宋"/>
                <w:color w:val="01010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376" w:type="dxa"/>
          </w:tcPr>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其中：公务用车运行维护费</w:t>
            </w:r>
          </w:p>
        </w:tc>
        <w:tc>
          <w:tcPr>
            <w:tcW w:w="1418" w:type="dxa"/>
          </w:tcPr>
          <w:p>
            <w:pPr>
              <w:autoSpaceDN w:val="0"/>
              <w:rPr>
                <w:rFonts w:hint="eastAsia" w:ascii="仿宋" w:hAnsi="仿宋" w:eastAsia="仿宋" w:cs="仿宋"/>
                <w:color w:val="010101"/>
                <w:sz w:val="21"/>
                <w:szCs w:val="21"/>
                <w:lang w:val="en-US" w:eastAsia="zh-CN"/>
              </w:rPr>
            </w:pPr>
            <w:r>
              <w:rPr>
                <w:rFonts w:hint="eastAsia" w:ascii="仿宋" w:hAnsi="仿宋" w:eastAsia="仿宋" w:cs="仿宋"/>
                <w:color w:val="010101"/>
                <w:sz w:val="21"/>
                <w:szCs w:val="21"/>
                <w:lang w:val="en-US" w:eastAsia="zh-CN"/>
              </w:rPr>
              <w:t>0</w:t>
            </w:r>
          </w:p>
        </w:tc>
        <w:tc>
          <w:tcPr>
            <w:tcW w:w="1417" w:type="dxa"/>
          </w:tcPr>
          <w:p>
            <w:pPr>
              <w:autoSpaceDN w:val="0"/>
              <w:rPr>
                <w:rFonts w:hint="eastAsia" w:ascii="仿宋" w:hAnsi="仿宋" w:eastAsia="仿宋" w:cs="仿宋"/>
                <w:color w:val="010101"/>
                <w:sz w:val="21"/>
                <w:szCs w:val="21"/>
                <w:lang w:val="en-US" w:eastAsia="zh-CN"/>
              </w:rPr>
            </w:pPr>
            <w:r>
              <w:rPr>
                <w:rFonts w:hint="eastAsia" w:ascii="仿宋" w:hAnsi="仿宋" w:eastAsia="仿宋" w:cs="仿宋"/>
                <w:color w:val="010101"/>
                <w:sz w:val="21"/>
                <w:szCs w:val="21"/>
                <w:lang w:val="en-US" w:eastAsia="zh-CN"/>
              </w:rPr>
              <w:t>0</w:t>
            </w:r>
          </w:p>
        </w:tc>
        <w:tc>
          <w:tcPr>
            <w:tcW w:w="1418" w:type="dxa"/>
          </w:tcPr>
          <w:p>
            <w:pPr>
              <w:autoSpaceDN w:val="0"/>
              <w:rPr>
                <w:rFonts w:hint="eastAsia" w:ascii="仿宋" w:hAnsi="仿宋" w:eastAsia="仿宋" w:cs="仿宋"/>
                <w:color w:val="010101"/>
                <w:sz w:val="21"/>
                <w:szCs w:val="21"/>
                <w:lang w:val="en-US" w:eastAsia="zh-CN"/>
              </w:rPr>
            </w:pPr>
            <w:r>
              <w:rPr>
                <w:rFonts w:hint="eastAsia" w:ascii="仿宋" w:hAnsi="仿宋" w:eastAsia="仿宋" w:cs="仿宋"/>
                <w:color w:val="010101"/>
                <w:sz w:val="21"/>
                <w:szCs w:val="21"/>
                <w:lang w:val="en-US" w:eastAsia="zh-CN"/>
              </w:rPr>
              <w:t>0</w:t>
            </w:r>
          </w:p>
        </w:tc>
        <w:tc>
          <w:tcPr>
            <w:tcW w:w="1559" w:type="dxa"/>
          </w:tcPr>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376" w:type="dxa"/>
          </w:tcPr>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公务车购置费</w:t>
            </w:r>
          </w:p>
        </w:tc>
        <w:tc>
          <w:tcPr>
            <w:tcW w:w="1418" w:type="dxa"/>
          </w:tcPr>
          <w:p>
            <w:pPr>
              <w:autoSpaceDN w:val="0"/>
              <w:rPr>
                <w:rFonts w:hint="eastAsia" w:ascii="仿宋" w:hAnsi="仿宋" w:eastAsia="仿宋" w:cs="仿宋"/>
                <w:color w:val="010101"/>
                <w:sz w:val="21"/>
                <w:szCs w:val="21"/>
                <w:lang w:val="en-US" w:eastAsia="zh-CN"/>
              </w:rPr>
            </w:pPr>
            <w:r>
              <w:rPr>
                <w:rFonts w:hint="eastAsia" w:ascii="仿宋" w:hAnsi="仿宋" w:eastAsia="仿宋" w:cs="仿宋"/>
                <w:color w:val="010101"/>
                <w:sz w:val="21"/>
                <w:szCs w:val="21"/>
                <w:lang w:val="en-US" w:eastAsia="zh-CN"/>
              </w:rPr>
              <w:t>0</w:t>
            </w:r>
          </w:p>
        </w:tc>
        <w:tc>
          <w:tcPr>
            <w:tcW w:w="1417" w:type="dxa"/>
          </w:tcPr>
          <w:p>
            <w:pPr>
              <w:autoSpaceDN w:val="0"/>
              <w:rPr>
                <w:rFonts w:hint="eastAsia" w:ascii="仿宋" w:hAnsi="仿宋" w:eastAsia="仿宋" w:cs="仿宋"/>
                <w:color w:val="010101"/>
                <w:sz w:val="21"/>
                <w:szCs w:val="21"/>
                <w:lang w:val="en-US" w:eastAsia="zh-CN"/>
              </w:rPr>
            </w:pPr>
            <w:r>
              <w:rPr>
                <w:rFonts w:hint="eastAsia" w:ascii="仿宋" w:hAnsi="仿宋" w:eastAsia="仿宋" w:cs="仿宋"/>
                <w:color w:val="010101"/>
                <w:sz w:val="21"/>
                <w:szCs w:val="21"/>
                <w:lang w:val="en-US" w:eastAsia="zh-CN"/>
              </w:rPr>
              <w:t>0</w:t>
            </w:r>
          </w:p>
        </w:tc>
        <w:tc>
          <w:tcPr>
            <w:tcW w:w="1418" w:type="dxa"/>
          </w:tcPr>
          <w:p>
            <w:pPr>
              <w:autoSpaceDN w:val="0"/>
              <w:rPr>
                <w:rFonts w:hint="eastAsia" w:ascii="仿宋" w:hAnsi="仿宋" w:eastAsia="仿宋" w:cs="仿宋"/>
                <w:color w:val="010101"/>
                <w:sz w:val="21"/>
                <w:szCs w:val="21"/>
                <w:lang w:val="en-US" w:eastAsia="zh-CN"/>
              </w:rPr>
            </w:pPr>
            <w:r>
              <w:rPr>
                <w:rFonts w:hint="eastAsia" w:ascii="仿宋" w:hAnsi="仿宋" w:eastAsia="仿宋" w:cs="仿宋"/>
                <w:color w:val="010101"/>
                <w:sz w:val="21"/>
                <w:szCs w:val="21"/>
                <w:lang w:val="en-US" w:eastAsia="zh-CN"/>
              </w:rPr>
              <w:t>0</w:t>
            </w:r>
          </w:p>
        </w:tc>
        <w:tc>
          <w:tcPr>
            <w:tcW w:w="1559" w:type="dxa"/>
          </w:tcPr>
          <w:p>
            <w:pPr>
              <w:autoSpaceDN w:val="0"/>
              <w:rPr>
                <w:rFonts w:hint="eastAsia" w:ascii="仿宋" w:hAnsi="仿宋" w:eastAsia="仿宋" w:cs="仿宋"/>
                <w:color w:val="010101"/>
                <w:sz w:val="21"/>
                <w:szCs w:val="21"/>
                <w:lang w:val="en-US" w:eastAsia="zh-CN"/>
              </w:rPr>
            </w:pPr>
            <w:r>
              <w:rPr>
                <w:rFonts w:hint="eastAsia" w:ascii="仿宋" w:hAnsi="仿宋" w:eastAsia="仿宋" w:cs="仿宋"/>
                <w:color w:val="010101"/>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76" w:type="dxa"/>
          </w:tcPr>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合计</w:t>
            </w:r>
          </w:p>
        </w:tc>
        <w:tc>
          <w:tcPr>
            <w:tcW w:w="1418" w:type="dxa"/>
          </w:tcPr>
          <w:p>
            <w:pPr>
              <w:autoSpaceDN w:val="0"/>
              <w:rPr>
                <w:rFonts w:hint="default" w:ascii="仿宋" w:hAnsi="仿宋" w:eastAsia="仿宋" w:cs="仿宋"/>
                <w:color w:val="010101"/>
                <w:sz w:val="21"/>
                <w:szCs w:val="21"/>
                <w:lang w:val="en-US" w:eastAsia="zh-CN"/>
              </w:rPr>
            </w:pPr>
            <w:r>
              <w:rPr>
                <w:rFonts w:hint="eastAsia" w:ascii="仿宋" w:hAnsi="仿宋" w:eastAsia="仿宋" w:cs="仿宋"/>
                <w:color w:val="010101"/>
                <w:sz w:val="21"/>
                <w:szCs w:val="21"/>
                <w:lang w:val="en-US" w:eastAsia="zh-CN"/>
              </w:rPr>
              <w:t>4.5</w:t>
            </w:r>
          </w:p>
        </w:tc>
        <w:tc>
          <w:tcPr>
            <w:tcW w:w="1417" w:type="dxa"/>
          </w:tcPr>
          <w:p>
            <w:pPr>
              <w:autoSpaceDN w:val="0"/>
              <w:rPr>
                <w:rFonts w:hint="default" w:ascii="仿宋" w:hAnsi="仿宋" w:eastAsia="仿宋" w:cs="仿宋"/>
                <w:color w:val="010101"/>
                <w:sz w:val="21"/>
                <w:szCs w:val="21"/>
                <w:lang w:val="en-US" w:eastAsia="zh-CN"/>
              </w:rPr>
            </w:pPr>
            <w:r>
              <w:rPr>
                <w:rFonts w:hint="eastAsia" w:ascii="仿宋" w:hAnsi="仿宋" w:eastAsia="仿宋" w:cs="仿宋"/>
                <w:color w:val="010101"/>
                <w:sz w:val="21"/>
                <w:szCs w:val="21"/>
                <w:lang w:val="en-US" w:eastAsia="zh-CN"/>
              </w:rPr>
              <w:t>4.5</w:t>
            </w:r>
          </w:p>
        </w:tc>
        <w:tc>
          <w:tcPr>
            <w:tcW w:w="1418" w:type="dxa"/>
          </w:tcPr>
          <w:p>
            <w:pPr>
              <w:autoSpaceDN w:val="0"/>
              <w:rPr>
                <w:rFonts w:hint="default" w:ascii="仿宋" w:hAnsi="仿宋" w:eastAsia="仿宋" w:cs="仿宋"/>
                <w:color w:val="010101"/>
                <w:sz w:val="21"/>
                <w:szCs w:val="21"/>
                <w:lang w:val="en-US" w:eastAsia="zh-CN"/>
              </w:rPr>
            </w:pPr>
            <w:r>
              <w:rPr>
                <w:rFonts w:hint="eastAsia" w:ascii="仿宋" w:hAnsi="仿宋" w:eastAsia="仿宋" w:cs="仿宋"/>
                <w:color w:val="010101"/>
                <w:sz w:val="21"/>
                <w:szCs w:val="21"/>
                <w:lang w:val="en-US" w:eastAsia="zh-CN"/>
              </w:rPr>
              <w:t>0</w:t>
            </w:r>
          </w:p>
        </w:tc>
        <w:tc>
          <w:tcPr>
            <w:tcW w:w="1559" w:type="dxa"/>
          </w:tcPr>
          <w:p>
            <w:pPr>
              <w:autoSpaceDN w:val="0"/>
              <w:rPr>
                <w:rFonts w:hint="default" w:ascii="仿宋" w:hAnsi="仿宋" w:eastAsia="仿宋" w:cs="仿宋"/>
                <w:color w:val="010101"/>
                <w:sz w:val="21"/>
                <w:szCs w:val="21"/>
                <w:lang w:val="en-US" w:eastAsia="zh-CN"/>
              </w:rPr>
            </w:pPr>
            <w:r>
              <w:rPr>
                <w:rFonts w:hint="eastAsia" w:ascii="仿宋" w:hAnsi="仿宋" w:eastAsia="仿宋" w:cs="仿宋"/>
                <w:color w:val="010101"/>
                <w:sz w:val="21"/>
                <w:szCs w:val="21"/>
                <w:lang w:val="en-US" w:eastAsia="zh-CN"/>
              </w:rPr>
              <w:t>0</w:t>
            </w:r>
          </w:p>
        </w:tc>
      </w:tr>
    </w:tbl>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　　1、公务接待费</w:t>
      </w:r>
    </w:p>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　　全年国内公务接待</w:t>
      </w:r>
      <w:r>
        <w:rPr>
          <w:rFonts w:hint="eastAsia" w:ascii="仿宋" w:hAnsi="仿宋" w:eastAsia="仿宋" w:cs="仿宋"/>
          <w:color w:val="010101"/>
          <w:sz w:val="21"/>
          <w:szCs w:val="21"/>
          <w:lang w:val="en-US" w:eastAsia="zh-CN"/>
        </w:rPr>
        <w:t>10</w:t>
      </w:r>
      <w:r>
        <w:rPr>
          <w:rFonts w:hint="eastAsia" w:ascii="仿宋" w:hAnsi="仿宋" w:eastAsia="仿宋" w:cs="仿宋"/>
          <w:color w:val="010101"/>
          <w:sz w:val="21"/>
          <w:szCs w:val="21"/>
        </w:rPr>
        <w:t>批次，</w:t>
      </w:r>
      <w:r>
        <w:rPr>
          <w:rFonts w:hint="eastAsia" w:ascii="仿宋" w:hAnsi="仿宋" w:eastAsia="仿宋" w:cs="仿宋"/>
          <w:color w:val="010101"/>
          <w:sz w:val="21"/>
          <w:szCs w:val="21"/>
          <w:lang w:val="en-US" w:eastAsia="zh-CN"/>
        </w:rPr>
        <w:t>100</w:t>
      </w:r>
      <w:r>
        <w:rPr>
          <w:rFonts w:hint="eastAsia" w:ascii="仿宋" w:hAnsi="仿宋" w:eastAsia="仿宋" w:cs="仿宋"/>
          <w:color w:val="010101"/>
          <w:sz w:val="21"/>
          <w:szCs w:val="21"/>
        </w:rPr>
        <w:t>人次，其中有公务接待函接待共</w:t>
      </w:r>
      <w:r>
        <w:rPr>
          <w:rFonts w:hint="eastAsia" w:ascii="仿宋" w:hAnsi="仿宋" w:eastAsia="仿宋" w:cs="仿宋"/>
          <w:color w:val="010101"/>
          <w:sz w:val="21"/>
          <w:szCs w:val="21"/>
          <w:lang w:val="en-US" w:eastAsia="zh-CN"/>
        </w:rPr>
        <w:t>10</w:t>
      </w:r>
      <w:r>
        <w:rPr>
          <w:rFonts w:hint="eastAsia" w:ascii="仿宋" w:hAnsi="仿宋" w:eastAsia="仿宋" w:cs="仿宋"/>
          <w:color w:val="010101"/>
          <w:sz w:val="21"/>
          <w:szCs w:val="21"/>
        </w:rPr>
        <w:t>批次，</w:t>
      </w:r>
      <w:r>
        <w:rPr>
          <w:rFonts w:hint="eastAsia" w:ascii="仿宋" w:hAnsi="仿宋" w:eastAsia="仿宋" w:cs="仿宋"/>
          <w:color w:val="010101"/>
          <w:sz w:val="21"/>
          <w:szCs w:val="21"/>
          <w:lang w:val="en-US" w:eastAsia="zh-CN"/>
        </w:rPr>
        <w:t>100</w:t>
      </w:r>
      <w:r>
        <w:rPr>
          <w:rFonts w:hint="eastAsia" w:ascii="仿宋" w:hAnsi="仿宋" w:eastAsia="仿宋" w:cs="仿宋"/>
          <w:color w:val="010101"/>
          <w:sz w:val="21"/>
          <w:szCs w:val="21"/>
        </w:rPr>
        <w:t>人次。全年决算支出公务接待费</w:t>
      </w:r>
      <w:r>
        <w:rPr>
          <w:rFonts w:hint="eastAsia" w:ascii="仿宋" w:hAnsi="仿宋" w:eastAsia="仿宋" w:cs="仿宋"/>
          <w:color w:val="010101"/>
          <w:sz w:val="21"/>
          <w:szCs w:val="21"/>
          <w:lang w:val="en-US" w:eastAsia="zh-CN"/>
        </w:rPr>
        <w:t>4.5</w:t>
      </w:r>
      <w:r>
        <w:rPr>
          <w:rFonts w:hint="eastAsia" w:ascii="仿宋" w:hAnsi="仿宋" w:eastAsia="仿宋" w:cs="仿宋"/>
          <w:color w:val="010101"/>
          <w:sz w:val="21"/>
          <w:szCs w:val="21"/>
        </w:rPr>
        <w:t>万元，较年初预算节约</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万元，节约</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%；较上年支出</w:t>
      </w:r>
      <w:r>
        <w:rPr>
          <w:rFonts w:hint="eastAsia" w:ascii="仿宋" w:hAnsi="仿宋" w:eastAsia="仿宋" w:cs="仿宋"/>
          <w:color w:val="010101"/>
          <w:sz w:val="21"/>
          <w:szCs w:val="21"/>
          <w:lang w:eastAsia="zh-CN"/>
        </w:rPr>
        <w:t>增</w:t>
      </w:r>
      <w:r>
        <w:rPr>
          <w:rFonts w:hint="eastAsia" w:ascii="仿宋" w:hAnsi="仿宋" w:eastAsia="仿宋" w:cs="仿宋"/>
          <w:color w:val="010101"/>
          <w:sz w:val="21"/>
          <w:szCs w:val="21"/>
          <w:lang w:val="en-US" w:eastAsia="zh-CN"/>
        </w:rPr>
        <w:t>3.2</w:t>
      </w:r>
      <w:r>
        <w:rPr>
          <w:rFonts w:hint="eastAsia" w:ascii="仿宋" w:hAnsi="仿宋" w:eastAsia="仿宋" w:cs="仿宋"/>
          <w:color w:val="010101"/>
          <w:sz w:val="21"/>
          <w:szCs w:val="21"/>
        </w:rPr>
        <w:t>万元，</w:t>
      </w:r>
      <w:r>
        <w:rPr>
          <w:rFonts w:hint="eastAsia" w:ascii="仿宋" w:hAnsi="仿宋" w:eastAsia="仿宋" w:cs="仿宋"/>
          <w:color w:val="010101"/>
          <w:sz w:val="21"/>
          <w:szCs w:val="21"/>
          <w:lang w:eastAsia="zh-CN"/>
        </w:rPr>
        <w:t>增加</w:t>
      </w:r>
      <w:r>
        <w:rPr>
          <w:rFonts w:hint="eastAsia" w:ascii="仿宋" w:hAnsi="仿宋" w:eastAsia="仿宋" w:cs="仿宋"/>
          <w:color w:val="010101"/>
          <w:sz w:val="21"/>
          <w:szCs w:val="21"/>
        </w:rPr>
        <w:t>比为</w:t>
      </w:r>
      <w:r>
        <w:rPr>
          <w:rFonts w:hint="eastAsia" w:ascii="仿宋" w:hAnsi="仿宋" w:eastAsia="仿宋" w:cs="仿宋"/>
          <w:color w:val="010101"/>
          <w:sz w:val="21"/>
          <w:szCs w:val="21"/>
          <w:lang w:val="en-US" w:eastAsia="zh-CN"/>
        </w:rPr>
        <w:t>246</w:t>
      </w:r>
      <w:r>
        <w:rPr>
          <w:rFonts w:hint="eastAsia" w:ascii="仿宋" w:hAnsi="仿宋" w:eastAsia="仿宋" w:cs="仿宋"/>
          <w:color w:val="010101"/>
          <w:sz w:val="21"/>
          <w:szCs w:val="21"/>
        </w:rPr>
        <w:t>%。</w:t>
      </w:r>
    </w:p>
    <w:p>
      <w:pPr>
        <w:autoSpaceDN w:val="0"/>
        <w:outlineLvl w:val="0"/>
        <w:rPr>
          <w:rFonts w:hint="eastAsia" w:ascii="仿宋" w:hAnsi="仿宋" w:eastAsia="仿宋" w:cs="仿宋"/>
          <w:color w:val="010101"/>
          <w:sz w:val="21"/>
          <w:szCs w:val="21"/>
        </w:rPr>
      </w:pPr>
      <w:r>
        <w:rPr>
          <w:rFonts w:hint="eastAsia" w:ascii="仿宋" w:hAnsi="仿宋" w:eastAsia="仿宋" w:cs="仿宋"/>
          <w:color w:val="010101"/>
          <w:sz w:val="21"/>
          <w:szCs w:val="21"/>
        </w:rPr>
        <w:t>　　2、公务用车购置及运行维护费</w:t>
      </w:r>
    </w:p>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　　2019年单位实有车辆</w:t>
      </w:r>
      <w:r>
        <w:rPr>
          <w:rFonts w:hint="eastAsia" w:ascii="仿宋" w:hAnsi="仿宋" w:eastAsia="仿宋" w:cs="仿宋"/>
          <w:color w:val="010101"/>
          <w:sz w:val="21"/>
          <w:szCs w:val="21"/>
          <w:lang w:val="en-US" w:eastAsia="zh-CN"/>
        </w:rPr>
        <w:t>1</w:t>
      </w:r>
      <w:r>
        <w:rPr>
          <w:rFonts w:hint="eastAsia" w:ascii="仿宋" w:hAnsi="仿宋" w:eastAsia="仿宋" w:cs="仿宋"/>
          <w:color w:val="010101"/>
          <w:sz w:val="21"/>
          <w:szCs w:val="21"/>
        </w:rPr>
        <w:t>辆，其中公共预算财政拨款开支运行维护费的公务用车保有量为</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辆。其中：</w:t>
      </w:r>
    </w:p>
    <w:p>
      <w:pPr>
        <w:autoSpaceDN w:val="0"/>
        <w:outlineLvl w:val="0"/>
        <w:rPr>
          <w:rFonts w:hint="eastAsia" w:ascii="仿宋" w:hAnsi="仿宋" w:eastAsia="仿宋" w:cs="仿宋"/>
          <w:color w:val="010101"/>
          <w:sz w:val="21"/>
          <w:szCs w:val="21"/>
        </w:rPr>
      </w:pPr>
      <w:r>
        <w:rPr>
          <w:rFonts w:hint="eastAsia" w:ascii="仿宋" w:hAnsi="仿宋" w:eastAsia="仿宋" w:cs="仿宋"/>
          <w:color w:val="010101"/>
          <w:sz w:val="21"/>
          <w:szCs w:val="21"/>
        </w:rPr>
        <w:t>　　（1）公务车运行维护费</w:t>
      </w:r>
    </w:p>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　　2019年的公务车运行维护费为</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万元，较年初预算节约</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万元，节约</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%；平均每台车的运行费用为</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万元，较上年平均每台车运行维护费减少</w:t>
      </w:r>
      <w:r>
        <w:rPr>
          <w:rFonts w:hint="eastAsia" w:ascii="仿宋" w:hAnsi="仿宋" w:eastAsia="仿宋" w:cs="仿宋"/>
          <w:color w:val="010101"/>
          <w:sz w:val="21"/>
          <w:szCs w:val="21"/>
          <w:lang w:val="en-US" w:eastAsia="zh-CN"/>
        </w:rPr>
        <w:t>0</w:t>
      </w:r>
      <w:r>
        <w:rPr>
          <w:rFonts w:hint="eastAsia" w:ascii="仿宋" w:hAnsi="仿宋" w:eastAsia="仿宋" w:cs="仿宋"/>
          <w:color w:val="010101"/>
          <w:sz w:val="21"/>
          <w:szCs w:val="21"/>
        </w:rPr>
        <w:t>万元。</w:t>
      </w:r>
    </w:p>
    <w:p>
      <w:pPr>
        <w:autoSpaceDN w:val="0"/>
        <w:ind w:firstLine="640"/>
        <w:outlineLvl w:val="0"/>
        <w:rPr>
          <w:rFonts w:hint="eastAsia" w:ascii="仿宋" w:hAnsi="仿宋" w:eastAsia="仿宋" w:cs="仿宋"/>
          <w:color w:val="010101"/>
          <w:sz w:val="21"/>
          <w:szCs w:val="21"/>
        </w:rPr>
      </w:pPr>
      <w:r>
        <w:rPr>
          <w:rFonts w:hint="eastAsia" w:ascii="仿宋" w:hAnsi="仿宋" w:eastAsia="仿宋" w:cs="仿宋"/>
          <w:color w:val="010101"/>
          <w:sz w:val="21"/>
          <w:szCs w:val="21"/>
        </w:rPr>
        <w:t>（2）公务用车购置费</w:t>
      </w:r>
      <w:r>
        <w:rPr>
          <w:rFonts w:hint="eastAsia" w:ascii="仿宋" w:hAnsi="仿宋" w:eastAsia="仿宋" w:cs="仿宋"/>
          <w:color w:val="010101"/>
          <w:sz w:val="21"/>
          <w:szCs w:val="21"/>
          <w:lang w:eastAsia="zh-CN"/>
        </w:rPr>
        <w:t>为</w:t>
      </w:r>
      <w:r>
        <w:rPr>
          <w:rFonts w:hint="eastAsia" w:ascii="仿宋" w:hAnsi="仿宋" w:eastAsia="仿宋" w:cs="仿宋"/>
          <w:color w:val="010101"/>
          <w:sz w:val="21"/>
          <w:szCs w:val="21"/>
          <w:lang w:val="en-US" w:eastAsia="zh-CN"/>
        </w:rPr>
        <w:t>0万元。</w:t>
      </w:r>
    </w:p>
    <w:p>
      <w:pPr>
        <w:autoSpaceDN w:val="0"/>
        <w:outlineLvl w:val="0"/>
        <w:rPr>
          <w:rFonts w:hint="eastAsia" w:ascii="仿宋" w:hAnsi="仿宋" w:eastAsia="仿宋" w:cs="仿宋"/>
          <w:color w:val="010101"/>
          <w:sz w:val="21"/>
          <w:szCs w:val="21"/>
        </w:rPr>
      </w:pPr>
      <w:r>
        <w:rPr>
          <w:rFonts w:hint="eastAsia" w:ascii="仿宋" w:hAnsi="仿宋" w:eastAsia="仿宋" w:cs="仿宋"/>
          <w:color w:val="010101"/>
          <w:sz w:val="21"/>
          <w:szCs w:val="21"/>
        </w:rPr>
        <w:t xml:space="preserve">　　三、绩效评价工作情况 </w:t>
      </w:r>
    </w:p>
    <w:p>
      <w:pPr>
        <w:autoSpaceDN w:val="0"/>
        <w:rPr>
          <w:rFonts w:hint="eastAsia" w:ascii="仿宋" w:hAnsi="仿宋" w:eastAsia="仿宋" w:cs="仿宋"/>
          <w:color w:val="010101"/>
          <w:sz w:val="21"/>
          <w:szCs w:val="21"/>
        </w:rPr>
      </w:pPr>
      <w:r>
        <w:rPr>
          <w:rFonts w:hint="eastAsia" w:ascii="仿宋" w:hAnsi="仿宋" w:eastAsia="仿宋" w:cs="仿宋"/>
          <w:color w:val="010101"/>
          <w:sz w:val="21"/>
          <w:szCs w:val="21"/>
        </w:rPr>
        <w:t>　　根据《关于开展2019年度各预算单位部门整体支出绩效自评价工作的通知》（绥财绩〔2019〕2号）文件，我</w:t>
      </w:r>
      <w:r>
        <w:rPr>
          <w:rFonts w:hint="eastAsia" w:ascii="仿宋" w:hAnsi="仿宋" w:eastAsia="仿宋" w:cs="仿宋"/>
          <w:color w:val="010101"/>
          <w:sz w:val="21"/>
          <w:szCs w:val="21"/>
          <w:lang w:eastAsia="zh-CN"/>
        </w:rPr>
        <w:t>处</w:t>
      </w:r>
      <w:r>
        <w:rPr>
          <w:rFonts w:hint="eastAsia" w:ascii="仿宋" w:hAnsi="仿宋" w:eastAsia="仿宋" w:cs="仿宋"/>
          <w:color w:val="010101"/>
          <w:sz w:val="21"/>
          <w:szCs w:val="21"/>
        </w:rPr>
        <w:t>成立了绩效评价工作领导小组，制定了《2019年度财政资金绩效自评方案》，并依据方案组织开展绩效评价工作。评价小组采取座谈等方式听取情况，检查基本支出、项目支出有关账目，收集整理支出相关资料，对绩效自评材料进行分析，形成评价结论。</w:t>
      </w:r>
    </w:p>
    <w:p>
      <w:pPr>
        <w:autoSpaceDN w:val="0"/>
        <w:outlineLvl w:val="0"/>
        <w:rPr>
          <w:rFonts w:hint="eastAsia" w:ascii="仿宋" w:hAnsi="仿宋" w:eastAsia="仿宋" w:cs="仿宋"/>
          <w:color w:val="010101"/>
          <w:sz w:val="21"/>
          <w:szCs w:val="21"/>
        </w:rPr>
      </w:pPr>
      <w:r>
        <w:rPr>
          <w:rFonts w:hint="eastAsia" w:ascii="仿宋" w:hAnsi="仿宋" w:eastAsia="仿宋" w:cs="仿宋"/>
          <w:color w:val="010101"/>
          <w:sz w:val="21"/>
          <w:szCs w:val="21"/>
        </w:rPr>
        <w:t xml:space="preserve">　　四、部门整体支出绩效情况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11" w:firstLineChars="196"/>
        <w:textAlignment w:val="auto"/>
        <w:outlineLvl w:val="9"/>
        <w:rPr>
          <w:rFonts w:hint="eastAsia" w:ascii="仿宋" w:hAnsi="仿宋" w:eastAsia="仿宋" w:cs="仿宋"/>
          <w:color w:val="010101"/>
          <w:sz w:val="21"/>
          <w:szCs w:val="21"/>
        </w:rPr>
      </w:pPr>
      <w:r>
        <w:rPr>
          <w:rFonts w:hint="eastAsia" w:ascii="仿宋" w:hAnsi="仿宋" w:eastAsia="仿宋" w:cs="仿宋"/>
          <w:color w:val="010101"/>
          <w:sz w:val="21"/>
          <w:szCs w:val="21"/>
        </w:rPr>
        <w:t>　　2019年，我单位在县委、县政府的领导下，坚持依法行政、执法为民，稳中求进，改革创新，积极作为，突出抓改革强监管促发展，各方面工作稳步推进，根据我单位制定的《部门整体支出绩效评价自评分值表》评分，得分</w:t>
      </w:r>
      <w:r>
        <w:rPr>
          <w:rFonts w:hint="eastAsia" w:ascii="仿宋" w:hAnsi="仿宋" w:eastAsia="仿宋" w:cs="仿宋"/>
          <w:color w:val="010101"/>
          <w:sz w:val="21"/>
          <w:szCs w:val="21"/>
          <w:lang w:val="en-US" w:eastAsia="zh-CN"/>
        </w:rPr>
        <w:t>95</w:t>
      </w:r>
      <w:r>
        <w:rPr>
          <w:rFonts w:hint="eastAsia" w:ascii="仿宋" w:hAnsi="仿宋" w:eastAsia="仿宋" w:cs="仿宋"/>
          <w:color w:val="010101"/>
          <w:sz w:val="21"/>
          <w:szCs w:val="21"/>
        </w:rPr>
        <w:t>分，财政支出绩效为“良”。主要绩效如下：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13" w:firstLineChars="196"/>
        <w:textAlignment w:val="auto"/>
        <w:outlineLvl w:val="9"/>
        <w:rPr>
          <w:rFonts w:hint="eastAsia" w:ascii="仿宋" w:hAnsi="仿宋" w:eastAsia="仿宋" w:cs="仿宋"/>
          <w:b w:val="0"/>
          <w:bCs w:val="0"/>
          <w:kern w:val="0"/>
          <w:sz w:val="21"/>
          <w:szCs w:val="21"/>
        </w:rPr>
      </w:pPr>
      <w:r>
        <w:rPr>
          <w:rFonts w:hint="eastAsia" w:ascii="仿宋" w:hAnsi="仿宋" w:eastAsia="仿宋" w:cs="仿宋"/>
          <w:b/>
          <w:bCs/>
          <w:kern w:val="0"/>
          <w:sz w:val="21"/>
          <w:szCs w:val="21"/>
        </w:rPr>
        <w:t>1、</w:t>
      </w:r>
      <w:r>
        <w:rPr>
          <w:rFonts w:hint="eastAsia" w:ascii="仿宋" w:hAnsi="仿宋" w:eastAsia="仿宋" w:cs="仿宋"/>
          <w:b/>
          <w:bCs/>
          <w:color w:val="010101"/>
          <w:sz w:val="21"/>
          <w:szCs w:val="21"/>
          <w:lang w:eastAsia="zh-CN"/>
        </w:rPr>
        <w:t>加强对古镇景区的管控。</w:t>
      </w:r>
      <w:r>
        <w:rPr>
          <w:rFonts w:hint="eastAsia" w:ascii="仿宋" w:hAnsi="仿宋" w:eastAsia="仿宋" w:cs="仿宋"/>
          <w:b w:val="0"/>
          <w:bCs w:val="0"/>
          <w:color w:val="010101"/>
          <w:sz w:val="21"/>
          <w:szCs w:val="21"/>
          <w:lang w:eastAsia="zh-CN"/>
        </w:rPr>
        <w:t>对核心景区内房屋进行摸底调查并备案存档，对破旧房屋修缮按上级领导要求严格执行。</w:t>
      </w:r>
    </w:p>
    <w:p>
      <w:pPr>
        <w:autoSpaceDN w:val="0"/>
        <w:outlineLvl w:val="0"/>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shd w:val="clear" w:fill="FFFFFF"/>
          <w:lang w:val="en-US" w:eastAsia="zh-CN" w:bidi="ar"/>
        </w:rPr>
        <w:t>五、对存在的问题改进措施和有关建议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Autospacing="0" w:line="420" w:lineRule="atLeast"/>
        <w:ind w:left="0" w:leftChars="0" w:right="0" w:rightChars="0" w:firstLine="645" w:firstLineChars="0"/>
        <w:jc w:val="left"/>
        <w:textAlignment w:val="auto"/>
        <w:outlineLvl w:val="9"/>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shd w:val="clear" w:fill="FFFFFF"/>
          <w:lang w:val="en-US" w:eastAsia="zh-CN" w:bidi="ar"/>
        </w:rPr>
        <w:t>1、内部管理制度有待完善。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Autospacing="0" w:line="420" w:lineRule="atLeast"/>
        <w:ind w:left="0" w:leftChars="0" w:right="0" w:rightChars="0" w:firstLine="645" w:firstLineChars="0"/>
        <w:jc w:val="left"/>
        <w:textAlignment w:val="auto"/>
        <w:outlineLvl w:val="9"/>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shd w:val="clear" w:fill="FFFFFF"/>
          <w:lang w:val="en-US" w:eastAsia="zh-CN" w:bidi="ar"/>
        </w:rPr>
        <w:t>2、经营保障水平偏低，根据以上不足我们要：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600" w:lineRule="atLeast"/>
        <w:ind w:left="0" w:right="0" w:firstLine="645"/>
        <w:jc w:val="left"/>
        <w:rPr>
          <w:rFonts w:hint="eastAsia" w:ascii="仿宋" w:hAnsi="仿宋" w:eastAsia="仿宋" w:cs="仿宋"/>
          <w:i w:val="0"/>
          <w:caps w:val="0"/>
          <w:color w:val="333333"/>
          <w:spacing w:val="0"/>
          <w:sz w:val="21"/>
          <w:szCs w:val="21"/>
        </w:rPr>
      </w:pPr>
      <w:r>
        <w:rPr>
          <w:rFonts w:hint="eastAsia" w:ascii="仿宋" w:hAnsi="仿宋" w:eastAsia="仿宋" w:cs="仿宋"/>
          <w:b/>
          <w:i w:val="0"/>
          <w:caps w:val="0"/>
          <w:color w:val="333333"/>
          <w:spacing w:val="0"/>
          <w:kern w:val="0"/>
          <w:sz w:val="21"/>
          <w:szCs w:val="21"/>
          <w:shd w:val="clear" w:fill="FFFFFF"/>
          <w:lang w:val="en-US" w:eastAsia="zh-CN" w:bidi="ar"/>
        </w:rPr>
        <w:t>（一）科学合理编制预算，严格执行预算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600" w:lineRule="atLeast"/>
        <w:ind w:left="0" w:right="0" w:firstLine="645"/>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shd w:val="clear" w:fill="FFFFFF"/>
          <w:lang w:val="en-US" w:eastAsia="zh-CN" w:bidi="ar"/>
        </w:rPr>
        <w:t>加强预算编制的前瞻性，建议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600" w:lineRule="atLeast"/>
        <w:ind w:left="0" w:right="0" w:firstLine="645"/>
        <w:jc w:val="left"/>
        <w:rPr>
          <w:rFonts w:hint="eastAsia" w:ascii="仿宋" w:hAnsi="仿宋" w:eastAsia="仿宋" w:cs="仿宋"/>
          <w:i w:val="0"/>
          <w:caps w:val="0"/>
          <w:color w:val="333333"/>
          <w:spacing w:val="0"/>
          <w:sz w:val="21"/>
          <w:szCs w:val="21"/>
        </w:rPr>
      </w:pPr>
      <w:r>
        <w:rPr>
          <w:rFonts w:hint="eastAsia" w:ascii="仿宋" w:hAnsi="仿宋" w:eastAsia="仿宋" w:cs="仿宋"/>
          <w:b/>
          <w:i w:val="0"/>
          <w:caps w:val="0"/>
          <w:color w:val="333333"/>
          <w:spacing w:val="0"/>
          <w:kern w:val="0"/>
          <w:sz w:val="21"/>
          <w:szCs w:val="21"/>
          <w:shd w:val="clear" w:fill="FFFFFF"/>
          <w:lang w:val="en-US" w:eastAsia="zh-CN" w:bidi="ar"/>
        </w:rPr>
        <w:t>（二）规范财务处理，提高财务信息质量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600" w:lineRule="atLeast"/>
        <w:ind w:left="0" w:right="0" w:firstLine="645"/>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shd w:val="clear" w:fill="FFFFFF"/>
          <w:lang w:val="en-US" w:eastAsia="zh-CN" w:bidi="ar"/>
        </w:rPr>
        <w:t>严格按照《会计法》、《行政单位会计制度》、《行政单位财务规则》等规定执行财务核算，并结合实际情况、完整、准确地披露相关信息，尽可能地做到决算与预算相衔接。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600" w:lineRule="atLeast"/>
        <w:ind w:left="0" w:right="0" w:firstLine="645"/>
        <w:jc w:val="left"/>
        <w:rPr>
          <w:rFonts w:hint="eastAsia" w:ascii="仿宋" w:hAnsi="仿宋" w:eastAsia="仿宋" w:cs="仿宋"/>
          <w:i w:val="0"/>
          <w:caps w:val="0"/>
          <w:color w:val="333333"/>
          <w:spacing w:val="0"/>
          <w:sz w:val="21"/>
          <w:szCs w:val="21"/>
        </w:rPr>
      </w:pPr>
      <w:r>
        <w:rPr>
          <w:rFonts w:hint="eastAsia" w:ascii="仿宋" w:hAnsi="仿宋" w:eastAsia="仿宋" w:cs="仿宋"/>
          <w:b/>
          <w:i w:val="0"/>
          <w:caps w:val="0"/>
          <w:color w:val="333333"/>
          <w:spacing w:val="0"/>
          <w:kern w:val="0"/>
          <w:sz w:val="21"/>
          <w:szCs w:val="21"/>
          <w:shd w:val="clear" w:fill="FFFFFF"/>
          <w:lang w:val="en-US" w:eastAsia="zh-CN" w:bidi="ar"/>
        </w:rPr>
        <w:t>（三）完善管理制度，进一步加强资产管理。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600" w:lineRule="atLeast"/>
        <w:ind w:left="0" w:right="0" w:firstLine="645"/>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shd w:val="clear" w:fill="FFFFFF"/>
          <w:lang w:val="en-US" w:eastAsia="zh-CN" w:bidi="ar"/>
        </w:rPr>
        <w:t>进一步贯彻落实中央“八项规定”和湖南省委“九条规定”，建立本部门“本公经费”等公务支出管理制度及厉行节约制度，加强经费审批和控制，规范支出标准与范围，并严格执行。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600" w:lineRule="atLeast"/>
        <w:ind w:left="0" w:right="0" w:firstLine="645"/>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shd w:val="clear" w:fill="FFFFFF"/>
          <w:lang w:val="en-US" w:eastAsia="zh-CN" w:bidi="ar"/>
        </w:rPr>
        <w:t>严格按照《固定资产管理办法》的规定加强固定资产管理，及时登记，更新台账，加强资产卡片管理，年终前对各类实物资产进行全面盘点，确保账账、账实相符。</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600" w:lineRule="atLeast"/>
        <w:ind w:left="0" w:right="0" w:firstLine="645"/>
        <w:jc w:val="left"/>
        <w:rPr>
          <w:rFonts w:hint="eastAsia" w:ascii="仿宋" w:hAnsi="仿宋" w:eastAsia="仿宋" w:cs="仿宋"/>
          <w:b/>
          <w:i w:val="0"/>
          <w:caps w:val="0"/>
          <w:color w:val="333333"/>
          <w:spacing w:val="0"/>
          <w:kern w:val="0"/>
          <w:sz w:val="21"/>
          <w:szCs w:val="21"/>
          <w:shd w:val="clear" w:fill="FFFFFF"/>
          <w:lang w:val="en-US" w:eastAsia="zh-CN" w:bidi="ar"/>
        </w:rPr>
      </w:pPr>
      <w:r>
        <w:rPr>
          <w:rFonts w:hint="eastAsia" w:ascii="仿宋" w:hAnsi="仿宋" w:eastAsia="仿宋" w:cs="仿宋"/>
          <w:b/>
          <w:i w:val="0"/>
          <w:caps w:val="0"/>
          <w:color w:val="333333"/>
          <w:spacing w:val="0"/>
          <w:kern w:val="0"/>
          <w:sz w:val="21"/>
          <w:szCs w:val="21"/>
          <w:shd w:val="clear" w:fill="FFFFFF"/>
          <w:lang w:val="en-US" w:eastAsia="zh-CN" w:bidi="ar"/>
        </w:rPr>
        <w:t>加强新行政单位会计制度和新预算法学习培训。</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600" w:lineRule="atLeast"/>
        <w:ind w:left="0" w:right="0" w:firstLine="645"/>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shd w:val="clear" w:fill="FFFFFF"/>
          <w:lang w:val="en-US" w:eastAsia="zh-CN" w:bidi="ar"/>
        </w:rPr>
        <w:t>加</w:t>
      </w:r>
      <w:r>
        <w:rPr>
          <w:rFonts w:hint="eastAsia" w:ascii="仿宋" w:hAnsi="仿宋" w:eastAsia="仿宋" w:cs="仿宋"/>
          <w:i w:val="0"/>
          <w:caps w:val="0"/>
          <w:color w:val="333333"/>
          <w:spacing w:val="-6"/>
          <w:kern w:val="0"/>
          <w:sz w:val="21"/>
          <w:szCs w:val="21"/>
          <w:shd w:val="clear" w:fill="FFFFFF"/>
          <w:lang w:val="en-US" w:eastAsia="zh-CN" w:bidi="ar"/>
        </w:rPr>
        <w:t>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w:t>
      </w:r>
      <w:r>
        <w:rPr>
          <w:rFonts w:hint="eastAsia" w:ascii="仿宋" w:hAnsi="仿宋" w:eastAsia="仿宋" w:cs="仿宋"/>
          <w:i w:val="0"/>
          <w:caps w:val="0"/>
          <w:color w:val="333333"/>
          <w:spacing w:val="0"/>
          <w:kern w:val="0"/>
          <w:sz w:val="21"/>
          <w:szCs w:val="21"/>
          <w:shd w:val="clear" w:fill="FFFFFF"/>
          <w:lang w:val="en-US" w:eastAsia="zh-CN" w:bidi="ar"/>
        </w:rPr>
        <w:t>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600" w:lineRule="atLeast"/>
        <w:ind w:left="0" w:right="0" w:firstLine="645"/>
        <w:jc w:val="left"/>
        <w:rPr>
          <w:rFonts w:hint="eastAsia" w:ascii="仿宋" w:hAnsi="仿宋" w:eastAsia="仿宋" w:cs="仿宋"/>
          <w:i w:val="0"/>
          <w:caps w:val="0"/>
          <w:color w:val="333333"/>
          <w:spacing w:val="0"/>
          <w:sz w:val="21"/>
          <w:szCs w:val="21"/>
        </w:rPr>
      </w:pPr>
      <w:r>
        <w:rPr>
          <w:rFonts w:hint="eastAsia" w:ascii="仿宋" w:hAnsi="仿宋" w:eastAsia="仿宋" w:cs="仿宋"/>
          <w:i w:val="0"/>
          <w:caps w:val="0"/>
          <w:color w:val="333333"/>
          <w:spacing w:val="0"/>
          <w:kern w:val="0"/>
          <w:sz w:val="21"/>
          <w:szCs w:val="21"/>
          <w:shd w:val="clear" w:fill="FFFFFF"/>
          <w:lang w:val="en-US" w:eastAsia="zh-CN" w:bidi="ar"/>
        </w:rPr>
        <w:t> </w:t>
      </w:r>
    </w:p>
    <w:p>
      <w:pPr>
        <w:spacing w:line="560" w:lineRule="exact"/>
        <w:rPr>
          <w:rFonts w:hint="eastAsia" w:ascii="仿宋" w:hAnsi="仿宋" w:eastAsia="仿宋" w:cs="仿宋"/>
          <w:kern w:val="0"/>
          <w:sz w:val="21"/>
          <w:szCs w:val="21"/>
        </w:rPr>
      </w:pPr>
    </w:p>
    <w:p>
      <w:pPr>
        <w:spacing w:afterLines="50" w:line="560" w:lineRule="exact"/>
        <w:jc w:val="center"/>
        <w:rPr>
          <w:rFonts w:hint="eastAsia" w:ascii="仿宋" w:hAnsi="仿宋" w:eastAsia="仿宋" w:cs="仿宋"/>
          <w:kern w:val="0"/>
          <w:sz w:val="21"/>
          <w:szCs w:val="21"/>
        </w:rPr>
      </w:pPr>
    </w:p>
    <w:p>
      <w:pPr>
        <w:spacing w:afterLines="50" w:line="560" w:lineRule="exact"/>
        <w:jc w:val="center"/>
        <w:rPr>
          <w:rFonts w:hint="eastAsia" w:ascii="仿宋" w:hAnsi="仿宋" w:eastAsia="仿宋" w:cs="仿宋"/>
          <w:kern w:val="0"/>
          <w:sz w:val="21"/>
          <w:szCs w:val="21"/>
        </w:rPr>
      </w:pPr>
    </w:p>
    <w:p>
      <w:pPr>
        <w:spacing w:afterLines="50" w:line="560" w:lineRule="exact"/>
        <w:jc w:val="center"/>
        <w:rPr>
          <w:rFonts w:hint="eastAsia" w:ascii="仿宋" w:hAnsi="仿宋" w:eastAsia="仿宋" w:cs="仿宋"/>
          <w:kern w:val="0"/>
          <w:sz w:val="21"/>
          <w:szCs w:val="21"/>
        </w:rPr>
      </w:pPr>
    </w:p>
    <w:p>
      <w:pPr>
        <w:spacing w:afterLines="50" w:line="560" w:lineRule="exact"/>
        <w:jc w:val="center"/>
        <w:rPr>
          <w:rFonts w:hint="eastAsia" w:ascii="仿宋" w:hAnsi="仿宋" w:eastAsia="仿宋" w:cs="仿宋"/>
          <w:kern w:val="0"/>
          <w:sz w:val="21"/>
          <w:szCs w:val="21"/>
        </w:rPr>
      </w:pPr>
    </w:p>
    <w:p>
      <w:pPr>
        <w:spacing w:afterLines="50" w:line="560" w:lineRule="exact"/>
        <w:jc w:val="center"/>
        <w:rPr>
          <w:rFonts w:hint="eastAsia" w:ascii="仿宋" w:hAnsi="仿宋" w:eastAsia="仿宋" w:cs="仿宋"/>
          <w:kern w:val="0"/>
          <w:sz w:val="21"/>
          <w:szCs w:val="21"/>
        </w:rPr>
      </w:pPr>
    </w:p>
    <w:p>
      <w:pPr>
        <w:spacing w:afterLines="50" w:line="560" w:lineRule="exact"/>
        <w:jc w:val="center"/>
        <w:rPr>
          <w:rFonts w:hint="eastAsia" w:ascii="仿宋" w:hAnsi="仿宋" w:eastAsia="仿宋" w:cs="仿宋"/>
          <w:kern w:val="0"/>
          <w:sz w:val="21"/>
          <w:szCs w:val="21"/>
        </w:rPr>
      </w:pPr>
    </w:p>
    <w:p>
      <w:pPr>
        <w:spacing w:afterLines="50" w:line="560" w:lineRule="exact"/>
        <w:jc w:val="center"/>
        <w:rPr>
          <w:rFonts w:hint="eastAsia" w:ascii="仿宋" w:hAnsi="仿宋" w:eastAsia="仿宋" w:cs="仿宋"/>
          <w:kern w:val="0"/>
          <w:sz w:val="21"/>
          <w:szCs w:val="21"/>
        </w:rPr>
      </w:pPr>
    </w:p>
    <w:p>
      <w:pPr>
        <w:spacing w:afterLines="50" w:line="560" w:lineRule="exact"/>
        <w:jc w:val="center"/>
        <w:rPr>
          <w:rFonts w:hint="eastAsia" w:ascii="仿宋" w:hAnsi="仿宋" w:eastAsia="仿宋" w:cs="仿宋"/>
          <w:kern w:val="0"/>
          <w:sz w:val="21"/>
          <w:szCs w:val="21"/>
        </w:rPr>
      </w:pPr>
    </w:p>
    <w:p>
      <w:pPr>
        <w:spacing w:afterLines="50" w:line="560" w:lineRule="exact"/>
        <w:jc w:val="center"/>
        <w:rPr>
          <w:rFonts w:hint="eastAsia" w:ascii="仿宋" w:hAnsi="仿宋" w:eastAsia="仿宋" w:cs="仿宋"/>
          <w:kern w:val="0"/>
          <w:sz w:val="21"/>
          <w:szCs w:val="21"/>
        </w:rPr>
      </w:pPr>
    </w:p>
    <w:p>
      <w:pPr>
        <w:spacing w:afterLines="50" w:line="560" w:lineRule="exact"/>
        <w:jc w:val="center"/>
        <w:rPr>
          <w:rFonts w:hint="eastAsia" w:ascii="仿宋" w:hAnsi="仿宋" w:eastAsia="仿宋" w:cs="仿宋"/>
          <w:kern w:val="0"/>
          <w:sz w:val="21"/>
          <w:szCs w:val="21"/>
        </w:rPr>
      </w:pPr>
    </w:p>
    <w:p>
      <w:pPr>
        <w:spacing w:afterLines="50" w:line="560" w:lineRule="exact"/>
        <w:jc w:val="center"/>
        <w:rPr>
          <w:rFonts w:hint="eastAsia" w:ascii="仿宋" w:hAnsi="仿宋" w:eastAsia="仿宋" w:cs="仿宋"/>
          <w:kern w:val="0"/>
          <w:sz w:val="21"/>
          <w:szCs w:val="21"/>
        </w:rPr>
      </w:pPr>
    </w:p>
    <w:p>
      <w:pPr>
        <w:spacing w:afterLines="5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部门整体支出绩效评价指标表</w:t>
      </w:r>
    </w:p>
    <w:tbl>
      <w:tblPr>
        <w:tblStyle w:val="8"/>
        <w:tblW w:w="10598" w:type="dxa"/>
        <w:jc w:val="center"/>
        <w:tblLayout w:type="fixed"/>
        <w:tblCellMar>
          <w:top w:w="0" w:type="dxa"/>
          <w:left w:w="108" w:type="dxa"/>
          <w:bottom w:w="0" w:type="dxa"/>
          <w:right w:w="108" w:type="dxa"/>
        </w:tblCellMar>
      </w:tblPr>
      <w:tblGrid>
        <w:gridCol w:w="679"/>
        <w:gridCol w:w="645"/>
        <w:gridCol w:w="720"/>
        <w:gridCol w:w="585"/>
        <w:gridCol w:w="855"/>
        <w:gridCol w:w="496"/>
        <w:gridCol w:w="3259"/>
        <w:gridCol w:w="2722"/>
        <w:gridCol w:w="637"/>
      </w:tblGrid>
      <w:tr>
        <w:tblPrEx>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一级指标</w:t>
            </w:r>
          </w:p>
        </w:tc>
        <w:tc>
          <w:tcPr>
            <w:tcW w:w="64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分值</w:t>
            </w:r>
          </w:p>
        </w:tc>
        <w:tc>
          <w:tcPr>
            <w:tcW w:w="72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58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分值</w:t>
            </w:r>
          </w:p>
        </w:tc>
        <w:tc>
          <w:tcPr>
            <w:tcW w:w="85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三级</w:t>
            </w:r>
          </w:p>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指标</w:t>
            </w:r>
          </w:p>
        </w:tc>
        <w:tc>
          <w:tcPr>
            <w:tcW w:w="4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分值</w:t>
            </w:r>
          </w:p>
        </w:tc>
        <w:tc>
          <w:tcPr>
            <w:tcW w:w="32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评价标准</w:t>
            </w:r>
          </w:p>
        </w:tc>
        <w:tc>
          <w:tcPr>
            <w:tcW w:w="27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指标说明</w:t>
            </w: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得分</w:t>
            </w:r>
          </w:p>
        </w:tc>
      </w:tr>
      <w:tr>
        <w:tblPrEx>
          <w:tblCellMar>
            <w:top w:w="0" w:type="dxa"/>
            <w:left w:w="108" w:type="dxa"/>
            <w:bottom w:w="0" w:type="dxa"/>
            <w:right w:w="108" w:type="dxa"/>
          </w:tblCellMar>
        </w:tblPrEx>
        <w:trPr>
          <w:trHeight w:val="1814" w:hRule="atLeast"/>
          <w:jc w:val="center"/>
        </w:trPr>
        <w:tc>
          <w:tcPr>
            <w:tcW w:w="679"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投入</w:t>
            </w:r>
          </w:p>
        </w:tc>
        <w:tc>
          <w:tcPr>
            <w:tcW w:w="64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预算配置</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在职人员控制率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3259" w:type="dxa"/>
            <w:tcBorders>
              <w:top w:val="nil"/>
              <w:left w:val="nil"/>
              <w:bottom w:val="nil"/>
              <w:right w:val="nil"/>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以100%为标准。在职人员控制率≦100%，计5分；每超过一个百分点扣0.5分，扣完为止。</w:t>
            </w:r>
          </w:p>
        </w:tc>
        <w:tc>
          <w:tcPr>
            <w:tcW w:w="2722"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在职人员控制率=（在职人员数/编制数）×100%，在职人员数：部门（单位）实际在职人数，以财政厅确定的部门决算编制口径为准。</w:t>
            </w:r>
            <w:r>
              <w:rPr>
                <w:rFonts w:hint="eastAsia" w:ascii="仿宋" w:hAnsi="仿宋" w:eastAsia="仿宋" w:cs="仿宋"/>
                <w:kern w:val="0"/>
                <w:sz w:val="21"/>
                <w:szCs w:val="21"/>
              </w:rPr>
              <w:br w:type="textWrapping"/>
            </w:r>
            <w:r>
              <w:rPr>
                <w:rFonts w:hint="eastAsia" w:ascii="仿宋" w:hAnsi="仿宋" w:eastAsia="仿宋" w:cs="仿宋"/>
                <w:kern w:val="0"/>
                <w:sz w:val="21"/>
                <w:szCs w:val="21"/>
              </w:rPr>
              <w:t>编制数：机构编制部门核定批复的部门（单位）的人员编制数。</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5</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仿宋"/>
                <w:sz w:val="21"/>
                <w:szCs w:val="21"/>
              </w:rPr>
            </w:pPr>
          </w:p>
        </w:tc>
        <w:tc>
          <w:tcPr>
            <w:tcW w:w="645"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720" w:type="dxa"/>
            <w:vMerge w:val="continue"/>
            <w:tcBorders>
              <w:top w:val="nil"/>
              <w:left w:val="nil"/>
              <w:bottom w:val="single" w:color="auto" w:sz="4" w:space="0"/>
              <w:right w:val="single" w:color="auto" w:sz="4" w:space="0"/>
            </w:tcBorders>
            <w:vAlign w:val="center"/>
          </w:tcPr>
          <w:p>
            <w:pPr>
              <w:rPr>
                <w:rFonts w:hint="eastAsia" w:ascii="仿宋" w:hAnsi="仿宋" w:eastAsia="仿宋" w:cs="仿宋"/>
                <w:sz w:val="21"/>
                <w:szCs w:val="21"/>
              </w:rPr>
            </w:pPr>
          </w:p>
        </w:tc>
        <w:tc>
          <w:tcPr>
            <w:tcW w:w="585"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“三公经费”变动率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3259"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“三公经费”变动率≦0,计8分；“三公经费”＞0，每超过一个百分点扣0.8分，扣完为止。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“三公经费”变动率=[（本年度“三公经费”预算数-上年度“三公经费”预算数）/上年度“三公经费”预算数]×100%</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5</w:t>
            </w:r>
          </w:p>
        </w:tc>
      </w:tr>
      <w:tr>
        <w:tblPrEx>
          <w:tblCellMar>
            <w:top w:w="0" w:type="dxa"/>
            <w:left w:w="108" w:type="dxa"/>
            <w:bottom w:w="0" w:type="dxa"/>
            <w:right w:w="108" w:type="dxa"/>
          </w:tblCellMar>
        </w:tblPrEx>
        <w:trPr>
          <w:jc w:val="center"/>
        </w:trPr>
        <w:tc>
          <w:tcPr>
            <w:tcW w:w="679" w:type="dxa"/>
            <w:vMerge w:val="restart"/>
            <w:tcBorders>
              <w:top w:val="nil"/>
              <w:left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过</w:t>
            </w:r>
          </w:p>
          <w:p>
            <w:pPr>
              <w:widowControl/>
              <w:spacing w:line="300" w:lineRule="exact"/>
              <w:jc w:val="center"/>
              <w:rPr>
                <w:rFonts w:hint="eastAsia" w:ascii="仿宋" w:hAnsi="仿宋" w:eastAsia="仿宋" w:cs="仿宋"/>
                <w:kern w:val="0"/>
                <w:sz w:val="21"/>
                <w:szCs w:val="21"/>
              </w:rPr>
            </w:pPr>
          </w:p>
          <w:p>
            <w:pPr>
              <w:widowControl/>
              <w:spacing w:line="300" w:lineRule="exact"/>
              <w:jc w:val="center"/>
              <w:rPr>
                <w:rFonts w:hint="eastAsia" w:ascii="仿宋" w:hAnsi="仿宋" w:eastAsia="仿宋" w:cs="仿宋"/>
                <w:kern w:val="0"/>
                <w:sz w:val="21"/>
                <w:szCs w:val="21"/>
              </w:rPr>
            </w:pPr>
          </w:p>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程                                                                                                                                     </w:t>
            </w:r>
          </w:p>
        </w:tc>
        <w:tc>
          <w:tcPr>
            <w:tcW w:w="645" w:type="dxa"/>
            <w:vMerge w:val="restart"/>
            <w:tcBorders>
              <w:top w:val="nil"/>
              <w:left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60</w:t>
            </w: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预算执行</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预算完成率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100%计满分，每低于5%扣2分，扣完为止。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预算完成率=（上年结转+年初预算+本年追加预算-年末结余）/（上年结转+年初预算+本年追加预算）×100%。</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5</w:t>
            </w:r>
          </w:p>
        </w:tc>
      </w:tr>
      <w:tr>
        <w:tblPrEx>
          <w:tblCellMar>
            <w:top w:w="0" w:type="dxa"/>
            <w:left w:w="108" w:type="dxa"/>
            <w:bottom w:w="0" w:type="dxa"/>
            <w:right w:w="108" w:type="dxa"/>
          </w:tblCellMar>
        </w:tblPrEx>
        <w:trPr>
          <w:trHeight w:val="1273" w:hRule="atLeast"/>
          <w:jc w:val="center"/>
        </w:trPr>
        <w:tc>
          <w:tcPr>
            <w:tcW w:w="679" w:type="dxa"/>
            <w:vMerge w:val="continue"/>
            <w:tcBorders>
              <w:left w:val="single" w:color="auto" w:sz="4" w:space="0"/>
              <w:right w:val="single" w:color="auto" w:sz="4" w:space="0"/>
            </w:tcBorders>
            <w:vAlign w:val="center"/>
          </w:tcPr>
          <w:p>
            <w:pPr>
              <w:spacing w:line="300" w:lineRule="exact"/>
              <w:jc w:val="left"/>
              <w:rPr>
                <w:rFonts w:hint="eastAsia" w:ascii="仿宋" w:hAnsi="仿宋" w:eastAsia="仿宋" w:cs="仿宋"/>
                <w:sz w:val="21"/>
                <w:szCs w:val="21"/>
              </w:rPr>
            </w:pPr>
          </w:p>
        </w:tc>
        <w:tc>
          <w:tcPr>
            <w:tcW w:w="645" w:type="dxa"/>
            <w:vMerge w:val="continue"/>
            <w:tcBorders>
              <w:left w:val="single" w:color="auto" w:sz="4" w:space="0"/>
              <w:right w:val="single" w:color="auto" w:sz="4" w:space="0"/>
            </w:tcBorders>
            <w:vAlign w:val="center"/>
          </w:tcPr>
          <w:p>
            <w:pPr>
              <w:rPr>
                <w:rFonts w:hint="eastAsia" w:ascii="仿宋" w:hAnsi="仿宋" w:eastAsia="仿宋" w:cs="仿宋"/>
                <w:sz w:val="21"/>
                <w:szCs w:val="21"/>
              </w:rPr>
            </w:pPr>
          </w:p>
        </w:tc>
        <w:tc>
          <w:tcPr>
            <w:tcW w:w="720"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585"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预算控制率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预算控制率=0，计5分；0-10%（含），计4分；10-20%（含），计3分；20-30%（含），计2分；大于30%不得分。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预算控制率=（本年追加预算/年初预算）×100%。</w:t>
            </w:r>
          </w:p>
        </w:tc>
        <w:tc>
          <w:tcPr>
            <w:tcW w:w="637"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r>
      <w:tr>
        <w:tblPrEx>
          <w:tblCellMar>
            <w:top w:w="0" w:type="dxa"/>
            <w:left w:w="108" w:type="dxa"/>
            <w:bottom w:w="0" w:type="dxa"/>
            <w:right w:w="108" w:type="dxa"/>
          </w:tblCellMar>
        </w:tblPrEx>
        <w:trPr>
          <w:trHeight w:val="1562" w:hRule="atLeast"/>
          <w:jc w:val="center"/>
        </w:trPr>
        <w:tc>
          <w:tcPr>
            <w:tcW w:w="679" w:type="dxa"/>
            <w:vMerge w:val="continue"/>
            <w:tcBorders>
              <w:left w:val="single" w:color="auto" w:sz="4" w:space="0"/>
              <w:right w:val="single" w:color="auto" w:sz="4" w:space="0"/>
            </w:tcBorders>
            <w:vAlign w:val="center"/>
          </w:tcPr>
          <w:p>
            <w:pPr>
              <w:spacing w:line="300" w:lineRule="exact"/>
              <w:jc w:val="left"/>
              <w:rPr>
                <w:rFonts w:hint="eastAsia" w:ascii="仿宋" w:hAnsi="仿宋" w:eastAsia="仿宋" w:cs="仿宋"/>
                <w:sz w:val="21"/>
                <w:szCs w:val="21"/>
              </w:rPr>
            </w:pPr>
          </w:p>
        </w:tc>
        <w:tc>
          <w:tcPr>
            <w:tcW w:w="645" w:type="dxa"/>
            <w:vMerge w:val="continue"/>
            <w:tcBorders>
              <w:left w:val="single" w:color="auto" w:sz="4" w:space="0"/>
              <w:right w:val="single" w:color="auto" w:sz="4" w:space="0"/>
            </w:tcBorders>
            <w:vAlign w:val="center"/>
          </w:tcPr>
          <w:p>
            <w:pPr>
              <w:rPr>
                <w:rFonts w:hint="eastAsia" w:ascii="仿宋" w:hAnsi="仿宋" w:eastAsia="仿宋" w:cs="仿宋"/>
                <w:sz w:val="21"/>
                <w:szCs w:val="21"/>
              </w:rPr>
            </w:p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预算管理</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50</w:t>
            </w: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公用经费控制率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100%以下（含）计满分，每超出1%扣1分，扣完为止。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公用经费控制率=（实际支出公用经费总额/预算安排公用经费总额）×100%。</w:t>
            </w:r>
            <w:r>
              <w:rPr>
                <w:rFonts w:hint="eastAsia" w:ascii="仿宋" w:hAnsi="仿宋" w:eastAsia="仿宋" w:cs="仿宋"/>
                <w:kern w:val="0"/>
                <w:sz w:val="21"/>
                <w:szCs w:val="21"/>
              </w:rPr>
              <w:br w:type="textWrapping"/>
            </w:r>
            <w:r>
              <w:rPr>
                <w:rFonts w:hint="eastAsia" w:ascii="仿宋" w:hAnsi="仿宋" w:eastAsia="仿宋" w:cs="仿宋"/>
                <w:kern w:val="0"/>
                <w:sz w:val="21"/>
                <w:szCs w:val="21"/>
              </w:rPr>
              <w:t>公用经费支出是指部门基本支出中的一般商品和服务支出。</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8</w:t>
            </w:r>
          </w:p>
        </w:tc>
      </w:tr>
      <w:tr>
        <w:tblPrEx>
          <w:tblCellMar>
            <w:top w:w="0" w:type="dxa"/>
            <w:left w:w="108" w:type="dxa"/>
            <w:bottom w:w="0" w:type="dxa"/>
            <w:right w:w="108" w:type="dxa"/>
          </w:tblCellMar>
        </w:tblPrEx>
        <w:trPr>
          <w:trHeight w:val="1073" w:hRule="atLeast"/>
          <w:jc w:val="center"/>
        </w:trPr>
        <w:tc>
          <w:tcPr>
            <w:tcW w:w="679" w:type="dxa"/>
            <w:vMerge w:val="continue"/>
            <w:tcBorders>
              <w:left w:val="single" w:color="auto" w:sz="4" w:space="0"/>
              <w:right w:val="single" w:color="auto" w:sz="4" w:space="0"/>
            </w:tcBorders>
            <w:vAlign w:val="center"/>
          </w:tcPr>
          <w:p>
            <w:pPr>
              <w:spacing w:line="300" w:lineRule="exact"/>
              <w:jc w:val="left"/>
              <w:rPr>
                <w:rFonts w:hint="eastAsia" w:ascii="仿宋" w:hAnsi="仿宋" w:eastAsia="仿宋" w:cs="仿宋"/>
                <w:sz w:val="21"/>
                <w:szCs w:val="21"/>
              </w:rPr>
            </w:pPr>
          </w:p>
        </w:tc>
        <w:tc>
          <w:tcPr>
            <w:tcW w:w="645" w:type="dxa"/>
            <w:vMerge w:val="continue"/>
            <w:tcBorders>
              <w:left w:val="single" w:color="auto" w:sz="4" w:space="0"/>
              <w:right w:val="single" w:color="auto" w:sz="4" w:space="0"/>
            </w:tcBorders>
            <w:vAlign w:val="center"/>
          </w:tcPr>
          <w:p>
            <w:pPr>
              <w:rPr>
                <w:rFonts w:hint="eastAsia" w:ascii="仿宋" w:hAnsi="仿宋" w:eastAsia="仿宋" w:cs="仿宋"/>
                <w:sz w:val="21"/>
                <w:szCs w:val="21"/>
              </w:rPr>
            </w:pPr>
          </w:p>
        </w:tc>
        <w:tc>
          <w:tcPr>
            <w:tcW w:w="720"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585"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“三公经费”控制率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7</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100%以下（含）计满分，每超出1%扣1分，扣完为止。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“三公经费”控制率-（“三公经费”实际支出数/“三公经费”预算安排数）×100%。</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7</w:t>
            </w:r>
          </w:p>
        </w:tc>
      </w:tr>
      <w:tr>
        <w:tblPrEx>
          <w:tblCellMar>
            <w:top w:w="0" w:type="dxa"/>
            <w:left w:w="108" w:type="dxa"/>
            <w:bottom w:w="0" w:type="dxa"/>
            <w:right w:w="108" w:type="dxa"/>
          </w:tblCellMar>
        </w:tblPrEx>
        <w:trPr>
          <w:trHeight w:val="918" w:hRule="atLeast"/>
          <w:jc w:val="center"/>
        </w:trPr>
        <w:tc>
          <w:tcPr>
            <w:tcW w:w="679" w:type="dxa"/>
            <w:vMerge w:val="continue"/>
            <w:tcBorders>
              <w:left w:val="single" w:color="auto" w:sz="4" w:space="0"/>
              <w:right w:val="single" w:color="auto" w:sz="4" w:space="0"/>
            </w:tcBorders>
            <w:vAlign w:val="center"/>
          </w:tcPr>
          <w:p>
            <w:pPr>
              <w:spacing w:line="300" w:lineRule="exact"/>
              <w:jc w:val="left"/>
              <w:rPr>
                <w:rFonts w:hint="eastAsia" w:ascii="仿宋" w:hAnsi="仿宋" w:eastAsia="仿宋" w:cs="仿宋"/>
                <w:sz w:val="21"/>
                <w:szCs w:val="21"/>
              </w:rPr>
            </w:pPr>
          </w:p>
        </w:tc>
        <w:tc>
          <w:tcPr>
            <w:tcW w:w="645" w:type="dxa"/>
            <w:vMerge w:val="continue"/>
            <w:tcBorders>
              <w:left w:val="single" w:color="auto" w:sz="4" w:space="0"/>
              <w:right w:val="single" w:color="auto" w:sz="4" w:space="0"/>
            </w:tcBorders>
            <w:vAlign w:val="center"/>
          </w:tcPr>
          <w:p>
            <w:pPr>
              <w:rPr>
                <w:rFonts w:hint="eastAsia" w:ascii="仿宋" w:hAnsi="仿宋" w:eastAsia="仿宋" w:cs="仿宋"/>
                <w:sz w:val="21"/>
                <w:szCs w:val="21"/>
              </w:rPr>
            </w:pPr>
          </w:p>
        </w:tc>
        <w:tc>
          <w:tcPr>
            <w:tcW w:w="720"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585"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政府采购执行率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100%计满分，每超过（降低）5%扣2分。扣完为止。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政府采购执行率=（实际政府采购金额/政府采购预算数）×100%</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6</w:t>
            </w:r>
          </w:p>
        </w:tc>
      </w:tr>
      <w:tr>
        <w:tblPrEx>
          <w:tblCellMar>
            <w:top w:w="0" w:type="dxa"/>
            <w:left w:w="108" w:type="dxa"/>
            <w:bottom w:w="0" w:type="dxa"/>
            <w:right w:w="108" w:type="dxa"/>
          </w:tblCellMar>
        </w:tblPrEx>
        <w:trPr>
          <w:jc w:val="center"/>
        </w:trPr>
        <w:tc>
          <w:tcPr>
            <w:tcW w:w="679" w:type="dxa"/>
            <w:vMerge w:val="continue"/>
            <w:tcBorders>
              <w:left w:val="single" w:color="auto" w:sz="4" w:space="0"/>
              <w:right w:val="single" w:color="auto" w:sz="4" w:space="0"/>
            </w:tcBorders>
            <w:vAlign w:val="center"/>
          </w:tcPr>
          <w:p>
            <w:pPr>
              <w:spacing w:line="300" w:lineRule="exact"/>
              <w:jc w:val="left"/>
              <w:rPr>
                <w:rFonts w:hint="eastAsia" w:ascii="仿宋" w:hAnsi="仿宋" w:eastAsia="仿宋" w:cs="仿宋"/>
                <w:kern w:val="0"/>
                <w:sz w:val="21"/>
                <w:szCs w:val="21"/>
              </w:rPr>
            </w:pPr>
          </w:p>
        </w:tc>
        <w:tc>
          <w:tcPr>
            <w:tcW w:w="645" w:type="dxa"/>
            <w:vMerge w:val="continue"/>
            <w:tcBorders>
              <w:left w:val="single" w:color="auto" w:sz="4" w:space="0"/>
              <w:right w:val="single" w:color="auto" w:sz="4" w:space="0"/>
            </w:tcBorders>
            <w:vAlign w:val="center"/>
          </w:tcPr>
          <w:p>
            <w:pPr>
              <w:spacing w:line="300" w:lineRule="exact"/>
              <w:jc w:val="left"/>
              <w:rPr>
                <w:rFonts w:hint="eastAsia" w:ascii="仿宋" w:hAnsi="仿宋" w:eastAsia="仿宋" w:cs="仿宋"/>
                <w:kern w:val="0"/>
                <w:sz w:val="21"/>
                <w:szCs w:val="21"/>
              </w:rPr>
            </w:pPr>
          </w:p>
        </w:tc>
        <w:tc>
          <w:tcPr>
            <w:tcW w:w="720" w:type="dxa"/>
            <w:vMerge w:val="restart"/>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预算管理</w:t>
            </w:r>
          </w:p>
        </w:tc>
        <w:tc>
          <w:tcPr>
            <w:tcW w:w="585"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管理制度健全性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①有内部财务管理制度、会计核算制度等管理制度，2分；</w:t>
            </w:r>
            <w:r>
              <w:rPr>
                <w:rFonts w:hint="eastAsia" w:ascii="仿宋" w:hAnsi="仿宋" w:eastAsia="仿宋" w:cs="仿宋"/>
                <w:kern w:val="0"/>
                <w:sz w:val="21"/>
                <w:szCs w:val="21"/>
              </w:rPr>
              <w:br w:type="textWrapping"/>
            </w:r>
            <w:r>
              <w:rPr>
                <w:rFonts w:hint="eastAsia" w:ascii="仿宋" w:hAnsi="仿宋" w:eastAsia="仿宋" w:cs="仿宋"/>
                <w:kern w:val="0"/>
                <w:sz w:val="21"/>
                <w:szCs w:val="21"/>
              </w:rPr>
              <w:t>②有本部门厉行节约制度，2分；</w:t>
            </w:r>
            <w:r>
              <w:rPr>
                <w:rFonts w:hint="eastAsia" w:ascii="仿宋" w:hAnsi="仿宋" w:eastAsia="仿宋" w:cs="仿宋"/>
                <w:kern w:val="0"/>
                <w:sz w:val="21"/>
                <w:szCs w:val="21"/>
              </w:rPr>
              <w:br w:type="textWrapping"/>
            </w:r>
            <w:r>
              <w:rPr>
                <w:rFonts w:hint="eastAsia" w:ascii="仿宋" w:hAnsi="仿宋" w:eastAsia="仿宋" w:cs="仿宋"/>
                <w:kern w:val="0"/>
                <w:sz w:val="21"/>
                <w:szCs w:val="21"/>
              </w:rPr>
              <w:t>③相关管理制度合法、合规、完整，2分；④相关管理制度得到有效执行，2分。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8</w:t>
            </w:r>
          </w:p>
        </w:tc>
      </w:tr>
      <w:tr>
        <w:tblPrEx>
          <w:tblCellMar>
            <w:top w:w="0" w:type="dxa"/>
            <w:left w:w="108" w:type="dxa"/>
            <w:bottom w:w="0" w:type="dxa"/>
            <w:right w:w="108" w:type="dxa"/>
          </w:tblCellMar>
        </w:tblPrEx>
        <w:trPr>
          <w:jc w:val="center"/>
        </w:trPr>
        <w:tc>
          <w:tcPr>
            <w:tcW w:w="679" w:type="dxa"/>
            <w:vMerge w:val="continue"/>
            <w:tcBorders>
              <w:left w:val="single" w:color="auto" w:sz="4" w:space="0"/>
              <w:right w:val="single" w:color="auto" w:sz="4" w:space="0"/>
            </w:tcBorders>
            <w:vAlign w:val="center"/>
          </w:tcPr>
          <w:p>
            <w:pPr>
              <w:rPr>
                <w:rFonts w:hint="eastAsia" w:ascii="仿宋" w:hAnsi="仿宋" w:eastAsia="仿宋" w:cs="仿宋"/>
                <w:sz w:val="21"/>
                <w:szCs w:val="21"/>
              </w:rPr>
            </w:pPr>
          </w:p>
        </w:tc>
        <w:tc>
          <w:tcPr>
            <w:tcW w:w="645" w:type="dxa"/>
            <w:vMerge w:val="continue"/>
            <w:tcBorders>
              <w:left w:val="single" w:color="auto" w:sz="4" w:space="0"/>
              <w:right w:val="single" w:color="auto" w:sz="4" w:space="0"/>
            </w:tcBorders>
            <w:vAlign w:val="center"/>
          </w:tcPr>
          <w:p>
            <w:pPr>
              <w:rPr>
                <w:rFonts w:hint="eastAsia" w:ascii="仿宋" w:hAnsi="仿宋" w:eastAsia="仿宋" w:cs="仿宋"/>
                <w:sz w:val="21"/>
                <w:szCs w:val="21"/>
              </w:rPr>
            </w:pPr>
          </w:p>
        </w:tc>
        <w:tc>
          <w:tcPr>
            <w:tcW w:w="720" w:type="dxa"/>
            <w:vMerge w:val="continue"/>
            <w:tcBorders>
              <w:top w:val="nil"/>
              <w:left w:val="nil"/>
              <w:bottom w:val="single" w:color="auto" w:sz="4" w:space="0"/>
              <w:right w:val="single" w:color="auto" w:sz="4" w:space="0"/>
            </w:tcBorders>
            <w:vAlign w:val="center"/>
          </w:tcPr>
          <w:p>
            <w:pPr>
              <w:rPr>
                <w:rFonts w:hint="eastAsia" w:ascii="仿宋" w:hAnsi="仿宋" w:eastAsia="仿宋" w:cs="仿宋"/>
                <w:sz w:val="21"/>
                <w:szCs w:val="21"/>
              </w:rPr>
            </w:pPr>
          </w:p>
        </w:tc>
        <w:tc>
          <w:tcPr>
            <w:tcW w:w="585"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资金使用合规性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hint="eastAsia" w:ascii="仿宋" w:hAnsi="仿宋" w:eastAsia="仿宋" w:cs="仿宋"/>
                <w:kern w:val="0"/>
                <w:sz w:val="21"/>
                <w:szCs w:val="21"/>
              </w:rPr>
              <w:br w:type="textWrapping"/>
            </w:r>
            <w:r>
              <w:rPr>
                <w:rFonts w:hint="eastAsia" w:ascii="仿宋" w:hAnsi="仿宋" w:eastAsia="仿宋" w:cs="仿宋"/>
                <w:kern w:val="0"/>
                <w:sz w:val="21"/>
                <w:szCs w:val="21"/>
              </w:rPr>
              <w:t>以上情况每出现一例不符合要求的扣1分，扣完为止。</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14</w:t>
            </w:r>
          </w:p>
        </w:tc>
      </w:tr>
      <w:tr>
        <w:tblPrEx>
          <w:tblCellMar>
            <w:top w:w="0" w:type="dxa"/>
            <w:left w:w="108" w:type="dxa"/>
            <w:bottom w:w="0" w:type="dxa"/>
            <w:right w:w="108" w:type="dxa"/>
          </w:tblCellMar>
        </w:tblPrEx>
        <w:trPr>
          <w:jc w:val="center"/>
        </w:trPr>
        <w:tc>
          <w:tcPr>
            <w:tcW w:w="679" w:type="dxa"/>
            <w:vMerge w:val="continue"/>
            <w:tcBorders>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645" w:type="dxa"/>
            <w:vMerge w:val="continue"/>
            <w:tcBorders>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720" w:type="dxa"/>
            <w:vMerge w:val="continue"/>
            <w:tcBorders>
              <w:top w:val="nil"/>
              <w:left w:val="nil"/>
              <w:bottom w:val="single" w:color="auto" w:sz="4" w:space="0"/>
              <w:right w:val="single" w:color="auto" w:sz="4" w:space="0"/>
            </w:tcBorders>
            <w:vAlign w:val="center"/>
          </w:tcPr>
          <w:p>
            <w:pPr>
              <w:rPr>
                <w:rFonts w:hint="eastAsia" w:ascii="仿宋" w:hAnsi="仿宋" w:eastAsia="仿宋" w:cs="仿宋"/>
                <w:sz w:val="21"/>
                <w:szCs w:val="21"/>
              </w:rPr>
            </w:pPr>
          </w:p>
        </w:tc>
        <w:tc>
          <w:tcPr>
            <w:tcW w:w="585"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预决算信息公开性</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5</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预决算信息是指与部门预算、执行、决算、监督、绩效等管理相关的信息。</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5</w:t>
            </w:r>
          </w:p>
        </w:tc>
      </w:tr>
      <w:tr>
        <w:tblPrEx>
          <w:tblCellMar>
            <w:top w:w="0" w:type="dxa"/>
            <w:left w:w="108" w:type="dxa"/>
            <w:bottom w:w="0" w:type="dxa"/>
            <w:right w:w="108" w:type="dxa"/>
          </w:tblCellMar>
        </w:tblPrEx>
        <w:trPr>
          <w:jc w:val="center"/>
        </w:trPr>
        <w:tc>
          <w:tcPr>
            <w:tcW w:w="67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产出及效率</w:t>
            </w:r>
          </w:p>
        </w:tc>
        <w:tc>
          <w:tcPr>
            <w:tcW w:w="64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30</w:t>
            </w:r>
          </w:p>
        </w:tc>
        <w:tc>
          <w:tcPr>
            <w:tcW w:w="720"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职责履行</w:t>
            </w:r>
          </w:p>
        </w:tc>
        <w:tc>
          <w:tcPr>
            <w:tcW w:w="585"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855" w:type="dxa"/>
            <w:tcBorders>
              <w:top w:val="nil"/>
              <w:left w:val="nil"/>
              <w:bottom w:val="nil"/>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重点工作实际完成率</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8</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根据绩效办2016年对各部门为民办实事和部门重点工程与重点工作考核分数折算。</w:t>
            </w:r>
            <w:r>
              <w:rPr>
                <w:rFonts w:hint="eastAsia" w:ascii="仿宋" w:hAnsi="仿宋" w:eastAsia="仿宋" w:cs="仿宋"/>
                <w:kern w:val="0"/>
                <w:sz w:val="21"/>
                <w:szCs w:val="21"/>
              </w:rPr>
              <w:br w:type="textWrapping"/>
            </w:r>
            <w:r>
              <w:rPr>
                <w:rFonts w:hint="eastAsia" w:ascii="仿宋" w:hAnsi="仿宋" w:eastAsia="仿宋" w:cs="仿宋"/>
                <w:kern w:val="0"/>
                <w:sz w:val="21"/>
                <w:szCs w:val="21"/>
              </w:rPr>
              <w:t>该项得分=（绩效办对应部分考核得分/350）*8</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7</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645"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7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履职 效益</w:t>
            </w: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85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经济</w:t>
            </w:r>
          </w:p>
          <w:p>
            <w:pPr>
              <w:widowControl/>
              <w:spacing w:line="26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效益</w:t>
            </w:r>
          </w:p>
        </w:tc>
        <w:tc>
          <w:tcPr>
            <w:tcW w:w="496" w:type="dxa"/>
            <w:vMerge w:val="restart"/>
            <w:tcBorders>
              <w:top w:val="nil"/>
              <w:left w:val="single" w:color="auto" w:sz="4" w:space="0"/>
              <w:bottom w:val="nil"/>
              <w:right w:val="single" w:color="auto" w:sz="4" w:space="0"/>
            </w:tcBorders>
            <w:vAlign w:val="center"/>
          </w:tcPr>
          <w:p>
            <w:pPr>
              <w:widowControl/>
              <w:spacing w:line="26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10</w:t>
            </w:r>
          </w:p>
        </w:tc>
        <w:tc>
          <w:tcPr>
            <w:tcW w:w="5981" w:type="dxa"/>
            <w:gridSpan w:val="2"/>
            <w:vMerge w:val="restart"/>
            <w:tcBorders>
              <w:top w:val="single" w:color="auto" w:sz="4" w:space="0"/>
              <w:left w:val="single" w:color="auto" w:sz="4" w:space="0"/>
              <w:bottom w:val="nil"/>
              <w:right w:val="single" w:color="000000" w:sz="4" w:space="0"/>
            </w:tcBorders>
            <w:vAlign w:val="center"/>
          </w:tcPr>
          <w:p>
            <w:pPr>
              <w:widowControl/>
              <w:spacing w:line="26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9</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645"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720"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585"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855" w:type="dxa"/>
            <w:tcBorders>
              <w:top w:val="nil"/>
              <w:left w:val="nil"/>
              <w:bottom w:val="single" w:color="auto" w:sz="4" w:space="0"/>
              <w:right w:val="single" w:color="auto" w:sz="4" w:space="0"/>
            </w:tcBorders>
            <w:vAlign w:val="center"/>
          </w:tcPr>
          <w:p>
            <w:pPr>
              <w:widowControl/>
              <w:spacing w:line="26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社会</w:t>
            </w:r>
          </w:p>
          <w:p>
            <w:pPr>
              <w:widowControl/>
              <w:spacing w:line="26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效益</w:t>
            </w:r>
          </w:p>
        </w:tc>
        <w:tc>
          <w:tcPr>
            <w:tcW w:w="496" w:type="dxa"/>
            <w:vMerge w:val="continue"/>
            <w:tcBorders>
              <w:top w:val="nil"/>
              <w:left w:val="single" w:color="auto" w:sz="4" w:space="0"/>
              <w:bottom w:val="nil"/>
              <w:right w:val="single" w:color="auto" w:sz="4" w:space="0"/>
            </w:tcBorders>
            <w:vAlign w:val="center"/>
          </w:tcPr>
          <w:p>
            <w:pPr>
              <w:rPr>
                <w:rFonts w:hint="eastAsia" w:ascii="仿宋" w:hAnsi="仿宋" w:eastAsia="仿宋" w:cs="仿宋"/>
                <w:sz w:val="21"/>
                <w:szCs w:val="21"/>
              </w:rPr>
            </w:pPr>
          </w:p>
        </w:tc>
        <w:tc>
          <w:tcPr>
            <w:tcW w:w="5981" w:type="dxa"/>
            <w:gridSpan w:val="2"/>
            <w:vMerge w:val="continue"/>
            <w:tcBorders>
              <w:top w:val="single" w:color="auto" w:sz="4" w:space="0"/>
              <w:left w:val="single" w:color="auto" w:sz="4" w:space="0"/>
              <w:bottom w:val="nil"/>
              <w:right w:val="single" w:color="000000" w:sz="4" w:space="0"/>
            </w:tcBorders>
            <w:vAlign w:val="center"/>
          </w:tcPr>
          <w:p>
            <w:pPr>
              <w:rPr>
                <w:rFonts w:hint="eastAsia" w:ascii="仿宋" w:hAnsi="仿宋" w:eastAsia="仿宋" w:cs="仿宋"/>
                <w:sz w:val="21"/>
                <w:szCs w:val="21"/>
              </w:rPr>
            </w:pPr>
          </w:p>
        </w:tc>
        <w:tc>
          <w:tcPr>
            <w:tcW w:w="637" w:type="dxa"/>
            <w:tcBorders>
              <w:top w:val="nil"/>
              <w:left w:val="nil"/>
              <w:bottom w:val="nil"/>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645"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720"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585"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12</w:t>
            </w:r>
          </w:p>
        </w:tc>
        <w:tc>
          <w:tcPr>
            <w:tcW w:w="855" w:type="dxa"/>
            <w:tcBorders>
              <w:top w:val="nil"/>
              <w:left w:val="nil"/>
              <w:bottom w:val="single" w:color="auto" w:sz="4" w:space="0"/>
              <w:right w:val="single" w:color="auto" w:sz="4" w:space="0"/>
            </w:tcBorders>
            <w:vAlign w:val="center"/>
          </w:tcPr>
          <w:p>
            <w:pPr>
              <w:widowControl/>
              <w:spacing w:line="26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行政效能</w:t>
            </w:r>
          </w:p>
        </w:tc>
        <w:tc>
          <w:tcPr>
            <w:tcW w:w="49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3259" w:type="dxa"/>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促进部门改进文风会风，加强经费及资产管理，推动网上办事，提高行政效率，降低行政成本效果较好的计6分；一般3分；无效果或者效果不明显0分。</w:t>
            </w:r>
          </w:p>
        </w:tc>
        <w:tc>
          <w:tcPr>
            <w:tcW w:w="2722" w:type="dxa"/>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根据部门自评材料评定。</w:t>
            </w:r>
          </w:p>
        </w:tc>
        <w:tc>
          <w:tcPr>
            <w:tcW w:w="637"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5</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645"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720"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585" w:type="dxa"/>
            <w:vMerge w:val="continue"/>
            <w:tcBorders>
              <w:top w:val="nil"/>
              <w:left w:val="single" w:color="auto" w:sz="4" w:space="0"/>
              <w:bottom w:val="single" w:color="000000" w:sz="4" w:space="0"/>
              <w:right w:val="single" w:color="auto" w:sz="4" w:space="0"/>
            </w:tcBorders>
            <w:vAlign w:val="center"/>
          </w:tcPr>
          <w:p>
            <w:pPr>
              <w:rPr>
                <w:rFonts w:hint="eastAsia" w:ascii="仿宋" w:hAnsi="仿宋" w:eastAsia="仿宋" w:cs="仿宋"/>
                <w:sz w:val="21"/>
                <w:szCs w:val="21"/>
              </w:rPr>
            </w:pPr>
          </w:p>
        </w:tc>
        <w:tc>
          <w:tcPr>
            <w:tcW w:w="855"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社会公众或服务对象满意度</w:t>
            </w:r>
          </w:p>
        </w:tc>
        <w:tc>
          <w:tcPr>
            <w:tcW w:w="496" w:type="dxa"/>
            <w:tcBorders>
              <w:top w:val="nil"/>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6</w:t>
            </w:r>
          </w:p>
        </w:tc>
        <w:tc>
          <w:tcPr>
            <w:tcW w:w="3259"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90%（含）以上计6分；</w:t>
            </w:r>
            <w:r>
              <w:rPr>
                <w:rFonts w:hint="eastAsia" w:ascii="仿宋" w:hAnsi="仿宋" w:eastAsia="仿宋" w:cs="仿宋"/>
                <w:kern w:val="0"/>
                <w:sz w:val="21"/>
                <w:szCs w:val="21"/>
              </w:rPr>
              <w:br w:type="textWrapping"/>
            </w:r>
            <w:r>
              <w:rPr>
                <w:rFonts w:hint="eastAsia" w:ascii="仿宋" w:hAnsi="仿宋" w:eastAsia="仿宋" w:cs="仿宋"/>
                <w:kern w:val="0"/>
                <w:sz w:val="21"/>
                <w:szCs w:val="21"/>
              </w:rPr>
              <w:t>80%（含）-90%，计4分；</w:t>
            </w:r>
            <w:r>
              <w:rPr>
                <w:rFonts w:hint="eastAsia" w:ascii="仿宋" w:hAnsi="仿宋" w:eastAsia="仿宋" w:cs="仿宋"/>
                <w:kern w:val="0"/>
                <w:sz w:val="21"/>
                <w:szCs w:val="21"/>
              </w:rPr>
              <w:br w:type="textWrapping"/>
            </w:r>
            <w:r>
              <w:rPr>
                <w:rFonts w:hint="eastAsia" w:ascii="仿宋" w:hAnsi="仿宋" w:eastAsia="仿宋" w:cs="仿宋"/>
                <w:kern w:val="0"/>
                <w:sz w:val="21"/>
                <w:szCs w:val="21"/>
              </w:rPr>
              <w:t>70%（含）-80%，计2分；</w:t>
            </w:r>
            <w:r>
              <w:rPr>
                <w:rFonts w:hint="eastAsia" w:ascii="仿宋" w:hAnsi="仿宋" w:eastAsia="仿宋" w:cs="仿宋"/>
                <w:kern w:val="0"/>
                <w:sz w:val="21"/>
                <w:szCs w:val="21"/>
              </w:rPr>
              <w:br w:type="textWrapping"/>
            </w:r>
            <w:r>
              <w:rPr>
                <w:rFonts w:hint="eastAsia" w:ascii="仿宋" w:hAnsi="仿宋" w:eastAsia="仿宋" w:cs="仿宋"/>
                <w:kern w:val="0"/>
                <w:sz w:val="21"/>
                <w:szCs w:val="21"/>
              </w:rPr>
              <w:t>低于70%计0分。</w:t>
            </w:r>
          </w:p>
        </w:tc>
        <w:tc>
          <w:tcPr>
            <w:tcW w:w="2722"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vAlign w:val="center"/>
          </w:tcPr>
          <w:p>
            <w:pPr>
              <w:widowControl/>
              <w:spacing w:line="30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6</w:t>
            </w:r>
          </w:p>
        </w:tc>
      </w:tr>
    </w:tbl>
    <w:p>
      <w:pPr>
        <w:spacing w:line="560" w:lineRule="exact"/>
        <w:rPr>
          <w:rFonts w:hint="eastAsia" w:ascii="仿宋" w:hAnsi="仿宋" w:eastAsia="仿宋" w:cs="仿宋"/>
          <w:kern w:val="0"/>
          <w:sz w:val="21"/>
          <w:szCs w:val="21"/>
        </w:rPr>
      </w:pPr>
    </w:p>
    <w:p>
      <w:pPr>
        <w:spacing w:line="560" w:lineRule="exact"/>
        <w:rPr>
          <w:rFonts w:hint="eastAsia" w:ascii="仿宋" w:hAnsi="仿宋" w:eastAsia="仿宋" w:cs="仿宋"/>
          <w:kern w:val="0"/>
          <w:sz w:val="21"/>
          <w:szCs w:val="21"/>
        </w:rPr>
      </w:pPr>
    </w:p>
    <w:p>
      <w:pPr>
        <w:spacing w:afterLines="50" w:line="560" w:lineRule="exact"/>
        <w:jc w:val="both"/>
        <w:rPr>
          <w:rFonts w:hint="eastAsia" w:ascii="仿宋" w:hAnsi="仿宋" w:eastAsia="仿宋" w:cs="仿宋"/>
          <w:kern w:val="0"/>
          <w:sz w:val="21"/>
          <w:szCs w:val="21"/>
        </w:rPr>
      </w:pPr>
    </w:p>
    <w:p>
      <w:pPr>
        <w:spacing w:afterLines="50" w:line="560" w:lineRule="exact"/>
        <w:jc w:val="both"/>
        <w:rPr>
          <w:rFonts w:hint="eastAsia" w:ascii="仿宋" w:hAnsi="仿宋" w:eastAsia="仿宋" w:cs="仿宋"/>
          <w:kern w:val="0"/>
          <w:sz w:val="32"/>
          <w:szCs w:val="32"/>
        </w:rPr>
      </w:pP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部门整体支出绩效评价基础数据表</w:t>
      </w:r>
    </w:p>
    <w:p>
      <w:pPr>
        <w:widowControl/>
        <w:tabs>
          <w:tab w:val="left" w:pos="3611"/>
          <w:tab w:val="left" w:pos="4791"/>
          <w:tab w:val="left" w:pos="5951"/>
          <w:tab w:val="left" w:pos="7071"/>
          <w:tab w:val="left" w:pos="8191"/>
          <w:tab w:val="left" w:pos="9311"/>
        </w:tabs>
        <w:ind w:left="91"/>
        <w:jc w:val="left"/>
        <w:rPr>
          <w:rFonts w:hint="eastAsia" w:ascii="仿宋" w:hAnsi="仿宋" w:eastAsia="仿宋" w:cs="仿宋"/>
          <w:kern w:val="0"/>
          <w:sz w:val="21"/>
          <w:szCs w:val="21"/>
        </w:rPr>
      </w:pPr>
      <w:r>
        <w:rPr>
          <w:rFonts w:hint="eastAsia" w:ascii="仿宋" w:hAnsi="仿宋" w:eastAsia="仿宋" w:cs="仿宋"/>
          <w:kern w:val="0"/>
          <w:sz w:val="21"/>
          <w:szCs w:val="21"/>
        </w:rPr>
        <w:t>填报单位：</w:t>
      </w:r>
      <w:r>
        <w:rPr>
          <w:rFonts w:hint="eastAsia" w:ascii="仿宋" w:hAnsi="仿宋" w:eastAsia="仿宋" w:cs="仿宋"/>
          <w:kern w:val="0"/>
          <w:sz w:val="21"/>
          <w:szCs w:val="21"/>
          <w:lang w:eastAsia="zh-CN"/>
        </w:rPr>
        <w:t>绥宁县文化市场综合执法大队</w:t>
      </w:r>
      <w:r>
        <w:rPr>
          <w:rFonts w:hint="eastAsia" w:ascii="仿宋" w:hAnsi="仿宋" w:eastAsia="仿宋" w:cs="仿宋"/>
          <w:kern w:val="0"/>
          <w:sz w:val="21"/>
          <w:szCs w:val="21"/>
        </w:rPr>
        <w:tab/>
      </w:r>
      <w:r>
        <w:rPr>
          <w:rFonts w:hint="eastAsia" w:ascii="仿宋" w:hAnsi="仿宋" w:eastAsia="仿宋" w:cs="仿宋"/>
          <w:kern w:val="0"/>
          <w:sz w:val="21"/>
          <w:szCs w:val="21"/>
        </w:rPr>
        <w:tab/>
      </w:r>
      <w:r>
        <w:rPr>
          <w:rFonts w:hint="eastAsia" w:ascii="仿宋" w:hAnsi="仿宋" w:eastAsia="仿宋" w:cs="仿宋"/>
          <w:kern w:val="0"/>
          <w:sz w:val="21"/>
          <w:szCs w:val="21"/>
        </w:rPr>
        <w:tab/>
      </w:r>
      <w:r>
        <w:rPr>
          <w:rFonts w:hint="eastAsia" w:ascii="仿宋" w:hAnsi="仿宋" w:eastAsia="仿宋" w:cs="仿宋"/>
          <w:kern w:val="0"/>
          <w:sz w:val="21"/>
          <w:szCs w:val="21"/>
        </w:rPr>
        <w:tab/>
      </w:r>
      <w:r>
        <w:rPr>
          <w:rFonts w:hint="eastAsia" w:ascii="仿宋" w:hAnsi="仿宋" w:eastAsia="仿宋" w:cs="仿宋"/>
          <w:kern w:val="0"/>
          <w:sz w:val="21"/>
          <w:szCs w:val="21"/>
        </w:rPr>
        <w:tab/>
      </w:r>
      <w:r>
        <w:rPr>
          <w:rFonts w:hint="eastAsia" w:ascii="仿宋" w:hAnsi="仿宋" w:eastAsia="仿宋" w:cs="仿宋"/>
          <w:kern w:val="0"/>
          <w:sz w:val="21"/>
          <w:szCs w:val="21"/>
        </w:rPr>
        <w:tab/>
      </w:r>
    </w:p>
    <w:tbl>
      <w:tblPr>
        <w:tblStyle w:val="8"/>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2019年实际在职人数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控制率</w:t>
            </w:r>
          </w:p>
        </w:tc>
      </w:tr>
      <w:tr>
        <w:tblPrEx>
          <w:tblCellMar>
            <w:top w:w="0" w:type="dxa"/>
            <w:left w:w="108" w:type="dxa"/>
            <w:bottom w:w="0" w:type="dxa"/>
            <w:right w:w="108" w:type="dxa"/>
          </w:tblCellMar>
        </w:tblPrEx>
        <w:trPr>
          <w:trHeight w:val="720"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kern w:val="0"/>
                <w:sz w:val="21"/>
                <w:szCs w:val="21"/>
                <w:lang w:val="en-US"/>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15</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26.67%</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2018年决算数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2019年预算数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2019年决算数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1.3万元</w:t>
            </w:r>
            <w:r>
              <w:rPr>
                <w:rFonts w:hint="eastAsia" w:ascii="仿宋" w:hAnsi="仿宋" w:eastAsia="仿宋" w:cs="仿宋"/>
                <w:kern w:val="0"/>
                <w:sz w:val="21"/>
                <w:szCs w:val="21"/>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4.5万元</w:t>
            </w:r>
            <w:r>
              <w:rPr>
                <w:rFonts w:hint="eastAsia" w:ascii="仿宋" w:hAnsi="仿宋" w:eastAsia="仿宋" w:cs="仿宋"/>
                <w:kern w:val="0"/>
                <w:sz w:val="21"/>
                <w:szCs w:val="21"/>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4.5万元</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0万元</w:t>
            </w:r>
            <w:r>
              <w:rPr>
                <w:rFonts w:hint="eastAsia" w:ascii="仿宋" w:hAnsi="仿宋" w:eastAsia="仿宋" w:cs="仿宋"/>
                <w:kern w:val="0"/>
                <w:sz w:val="21"/>
                <w:szCs w:val="21"/>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0万元</w:t>
            </w:r>
            <w:r>
              <w:rPr>
                <w:rFonts w:hint="eastAsia" w:ascii="仿宋" w:hAnsi="仿宋" w:eastAsia="仿宋" w:cs="仿宋"/>
                <w:kern w:val="0"/>
                <w:sz w:val="21"/>
                <w:szCs w:val="21"/>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0万元</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1.3万元</w:t>
            </w:r>
            <w:r>
              <w:rPr>
                <w:rFonts w:hint="eastAsia" w:ascii="仿宋" w:hAnsi="仿宋" w:eastAsia="仿宋" w:cs="仿宋"/>
                <w:kern w:val="0"/>
                <w:sz w:val="21"/>
                <w:szCs w:val="21"/>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4.5万元</w:t>
            </w:r>
            <w:r>
              <w:rPr>
                <w:rFonts w:hint="eastAsia" w:ascii="仿宋" w:hAnsi="仿宋" w:eastAsia="仿宋" w:cs="仿宋"/>
                <w:kern w:val="0"/>
                <w:sz w:val="21"/>
                <w:szCs w:val="21"/>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4.5万元</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0万元</w:t>
            </w:r>
            <w:r>
              <w:rPr>
                <w:rFonts w:hint="eastAsia" w:ascii="仿宋" w:hAnsi="仿宋" w:eastAsia="仿宋" w:cs="仿宋"/>
                <w:kern w:val="0"/>
                <w:sz w:val="21"/>
                <w:szCs w:val="21"/>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0万元</w:t>
            </w:r>
            <w:r>
              <w:rPr>
                <w:rFonts w:hint="eastAsia" w:ascii="仿宋" w:hAnsi="仿宋" w:eastAsia="仿宋" w:cs="仿宋"/>
                <w:kern w:val="0"/>
                <w:sz w:val="21"/>
                <w:szCs w:val="21"/>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0万元</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rPr>
              <w:t>　</w:t>
            </w:r>
            <w:r>
              <w:rPr>
                <w:rFonts w:hint="eastAsia" w:ascii="仿宋" w:hAnsi="仿宋" w:eastAsia="仿宋" w:cs="仿宋"/>
                <w:color w:val="FF0000"/>
                <w:kern w:val="0"/>
                <w:sz w:val="21"/>
                <w:szCs w:val="21"/>
                <w:lang w:val="en-US" w:eastAsia="zh-CN"/>
              </w:rPr>
              <w:t>0万元</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lang w:val="en-US" w:eastAsia="zh-CN"/>
              </w:rPr>
              <w:t>0万元</w:t>
            </w:r>
            <w:r>
              <w:rPr>
                <w:rFonts w:hint="eastAsia" w:ascii="仿宋" w:hAnsi="仿宋" w:eastAsia="仿宋" w:cs="仿宋"/>
                <w:color w:val="FF0000"/>
                <w:kern w:val="0"/>
                <w:sz w:val="21"/>
                <w:szCs w:val="21"/>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lang w:val="en-US" w:eastAsia="zh-CN"/>
              </w:rPr>
              <w:t>0万元</w:t>
            </w:r>
            <w:r>
              <w:rPr>
                <w:rFonts w:hint="eastAsia" w:ascii="仿宋" w:hAnsi="仿宋" w:eastAsia="仿宋" w:cs="仿宋"/>
                <w:color w:val="FF0000"/>
                <w:kern w:val="0"/>
                <w:sz w:val="21"/>
                <w:szCs w:val="21"/>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lang w:val="en-US" w:eastAsia="zh-CN"/>
              </w:rPr>
              <w:t>0万元</w:t>
            </w:r>
            <w:r>
              <w:rPr>
                <w:rFonts w:hint="eastAsia" w:ascii="仿宋" w:hAnsi="仿宋" w:eastAsia="仿宋" w:cs="仿宋"/>
                <w:color w:val="FF0000"/>
                <w:kern w:val="0"/>
                <w:sz w:val="21"/>
                <w:szCs w:val="21"/>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lang w:val="en-US" w:eastAsia="zh-CN"/>
              </w:rPr>
              <w:t>0万元</w:t>
            </w:r>
            <w:r>
              <w:rPr>
                <w:rFonts w:hint="eastAsia" w:ascii="仿宋" w:hAnsi="仿宋" w:eastAsia="仿宋" w:cs="仿宋"/>
                <w:color w:val="FF0000"/>
                <w:kern w:val="0"/>
                <w:sz w:val="21"/>
                <w:szCs w:val="21"/>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lang w:val="en-US" w:eastAsia="zh-CN"/>
              </w:rPr>
              <w:t>0万元</w:t>
            </w:r>
            <w:r>
              <w:rPr>
                <w:rFonts w:hint="eastAsia" w:ascii="仿宋" w:hAnsi="仿宋" w:eastAsia="仿宋" w:cs="仿宋"/>
                <w:color w:val="FF0000"/>
                <w:kern w:val="0"/>
                <w:sz w:val="21"/>
                <w:szCs w:val="21"/>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lang w:val="en-US" w:eastAsia="zh-CN"/>
              </w:rPr>
              <w:t>0</w:t>
            </w:r>
            <w:r>
              <w:rPr>
                <w:rFonts w:hint="eastAsia" w:ascii="仿宋" w:hAnsi="仿宋" w:eastAsia="仿宋" w:cs="仿宋"/>
                <w:color w:val="FF0000"/>
                <w:kern w:val="0"/>
                <w:sz w:val="21"/>
                <w:szCs w:val="21"/>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lang w:val="en-US" w:eastAsia="zh-CN"/>
              </w:rPr>
              <w:t>0</w:t>
            </w:r>
            <w:r>
              <w:rPr>
                <w:rFonts w:hint="eastAsia" w:ascii="仿宋" w:hAnsi="仿宋" w:eastAsia="仿宋" w:cs="仿宋"/>
                <w:color w:val="FF0000"/>
                <w:kern w:val="0"/>
                <w:sz w:val="21"/>
                <w:szCs w:val="21"/>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color w:val="FF0000"/>
                <w:kern w:val="0"/>
                <w:sz w:val="21"/>
                <w:szCs w:val="21"/>
              </w:rPr>
            </w:pPr>
            <w:r>
              <w:rPr>
                <w:rFonts w:hint="eastAsia" w:ascii="仿宋" w:hAnsi="仿宋" w:eastAsia="仿宋" w:cs="仿宋"/>
                <w:color w:val="FF0000"/>
                <w:kern w:val="0"/>
                <w:sz w:val="21"/>
                <w:szCs w:val="21"/>
                <w:lang w:val="en-US" w:eastAsia="zh-CN"/>
              </w:rPr>
              <w:t>0</w:t>
            </w:r>
            <w:r>
              <w:rPr>
                <w:rFonts w:hint="eastAsia" w:ascii="仿宋" w:hAnsi="仿宋" w:eastAsia="仿宋" w:cs="仿宋"/>
                <w:color w:val="FF0000"/>
                <w:kern w:val="0"/>
                <w:sz w:val="21"/>
                <w:szCs w:val="21"/>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 xml:space="preserve">    其中：资本性支出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0万元</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0</w:t>
            </w:r>
            <w:bookmarkStart w:id="0" w:name="_GoBack"/>
            <w:bookmarkEnd w:id="0"/>
            <w:r>
              <w:rPr>
                <w:rFonts w:hint="eastAsia" w:ascii="仿宋" w:hAnsi="仿宋" w:eastAsia="仿宋" w:cs="仿宋"/>
                <w:kern w:val="0"/>
                <w:sz w:val="21"/>
                <w:szCs w:val="21"/>
                <w:lang w:val="en-US" w:eastAsia="zh-CN"/>
              </w:rPr>
              <w:t>万元</w:t>
            </w: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部门整体支出预算调整 </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177" w:hRule="atLeast"/>
          <w:jc w:val="center"/>
        </w:trPr>
        <w:tc>
          <w:tcPr>
            <w:tcW w:w="3550" w:type="dxa"/>
            <w:tcBorders>
              <w:top w:val="nil"/>
              <w:left w:val="single" w:color="auto" w:sz="4" w:space="0"/>
              <w:bottom w:val="single" w:color="auto" w:sz="4" w:space="0"/>
              <w:right w:val="single" w:color="auto" w:sz="4" w:space="0"/>
            </w:tcBorders>
            <w:vAlign w:val="center"/>
          </w:tcPr>
          <w:p>
            <w:pPr>
              <w:rPr>
                <w:rFonts w:hint="eastAsia" w:ascii="仿宋" w:hAnsi="仿宋" w:eastAsia="仿宋" w:cs="仿宋"/>
                <w:sz w:val="21"/>
                <w:szCs w:val="21"/>
              </w:rPr>
            </w:pPr>
          </w:p>
        </w:tc>
        <w:tc>
          <w:tcPr>
            <w:tcW w:w="119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7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13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1465"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97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c>
          <w:tcPr>
            <w:tcW w:w="864"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　</w:t>
            </w:r>
          </w:p>
        </w:tc>
      </w:tr>
    </w:tbl>
    <w:p>
      <w:pPr>
        <w:widowControl/>
        <w:ind w:right="-1050"/>
        <w:jc w:val="left"/>
        <w:rPr>
          <w:rFonts w:hint="eastAsia" w:ascii="仿宋" w:hAnsi="仿宋" w:eastAsia="仿宋" w:cs="仿宋"/>
          <w:kern w:val="0"/>
          <w:sz w:val="21"/>
          <w:szCs w:val="21"/>
        </w:rPr>
      </w:pPr>
      <w:r>
        <w:rPr>
          <w:rFonts w:hint="eastAsia" w:ascii="仿宋" w:hAnsi="仿宋" w:eastAsia="仿宋" w:cs="仿宋"/>
          <w:kern w:val="0"/>
          <w:sz w:val="21"/>
          <w:szCs w:val="21"/>
        </w:rPr>
        <w:t>说明：“项目支出”需要填报除专项资金和基本支出以外的所有项目情况，包括业务工作项目、运行维护项目等；“公用经费”填报基本支出中的一般商品和服务支出。</w:t>
      </w:r>
    </w:p>
    <w:p>
      <w:pPr>
        <w:spacing w:line="500" w:lineRule="exact"/>
        <w:rPr>
          <w:rFonts w:hint="eastAsia" w:ascii="仿宋" w:hAnsi="仿宋" w:eastAsia="仿宋" w:cs="仿宋"/>
          <w:color w:val="000000"/>
          <w:sz w:val="32"/>
          <w:szCs w:val="32"/>
        </w:rPr>
      </w:pPr>
    </w:p>
    <w:p>
      <w:pPr>
        <w:spacing w:line="500" w:lineRule="exact"/>
        <w:rPr>
          <w:rFonts w:hint="eastAsia" w:ascii="仿宋" w:hAnsi="仿宋" w:eastAsia="仿宋" w:cs="仿宋"/>
          <w:color w:val="000000"/>
          <w:sz w:val="32"/>
          <w:szCs w:val="32"/>
        </w:rPr>
      </w:pPr>
    </w:p>
    <w:p>
      <w:pPr>
        <w:spacing w:line="500" w:lineRule="exact"/>
        <w:rPr>
          <w:rFonts w:hint="eastAsia" w:ascii="仿宋" w:hAnsi="仿宋" w:eastAsia="仿宋" w:cs="仿宋"/>
          <w:color w:val="000000"/>
          <w:sz w:val="32"/>
          <w:szCs w:val="32"/>
        </w:rPr>
      </w:pPr>
    </w:p>
    <w:p>
      <w:pPr>
        <w:spacing w:line="500" w:lineRule="exact"/>
        <w:rPr>
          <w:rFonts w:hint="eastAsia" w:ascii="仿宋" w:hAnsi="仿宋" w:eastAsia="仿宋" w:cs="仿宋"/>
          <w:color w:val="000000"/>
          <w:sz w:val="32"/>
          <w:szCs w:val="32"/>
        </w:rPr>
      </w:pPr>
    </w:p>
    <w:p>
      <w:pPr>
        <w:spacing w:line="500" w:lineRule="exact"/>
        <w:rPr>
          <w:rFonts w:hint="eastAsia" w:ascii="仿宋" w:hAnsi="仿宋" w:eastAsia="仿宋" w:cs="仿宋"/>
          <w:color w:val="000000"/>
          <w:sz w:val="32"/>
          <w:szCs w:val="32"/>
        </w:rPr>
      </w:pPr>
    </w:p>
    <w:p>
      <w:pPr>
        <w:spacing w:line="500" w:lineRule="exact"/>
        <w:rPr>
          <w:rFonts w:hint="eastAsia" w:ascii="仿宋" w:hAnsi="仿宋" w:eastAsia="仿宋" w:cs="仿宋"/>
          <w:color w:val="000000"/>
          <w:sz w:val="32"/>
          <w:szCs w:val="32"/>
        </w:rPr>
      </w:pPr>
    </w:p>
    <w:p>
      <w:pPr>
        <w:spacing w:line="500" w:lineRule="exact"/>
        <w:rPr>
          <w:rFonts w:hint="eastAsia" w:ascii="仿宋" w:hAnsi="仿宋" w:eastAsia="仿宋" w:cs="仿宋"/>
          <w:color w:val="000000"/>
          <w:sz w:val="32"/>
          <w:szCs w:val="32"/>
        </w:rPr>
      </w:pPr>
    </w:p>
    <w:p>
      <w:pPr>
        <w:spacing w:line="500" w:lineRule="exact"/>
        <w:rPr>
          <w:rFonts w:hint="eastAsia" w:ascii="仿宋" w:hAnsi="仿宋" w:eastAsia="仿宋" w:cs="仿宋"/>
          <w:color w:val="000000"/>
          <w:sz w:val="32"/>
          <w:szCs w:val="32"/>
        </w:rPr>
      </w:pPr>
    </w:p>
    <w:p>
      <w:pPr>
        <w:spacing w:line="500" w:lineRule="exact"/>
        <w:rPr>
          <w:rFonts w:hint="eastAsia" w:ascii="仿宋" w:hAnsi="仿宋" w:eastAsia="仿宋" w:cs="仿宋"/>
          <w:color w:val="000000"/>
          <w:sz w:val="32"/>
          <w:szCs w:val="32"/>
        </w:rPr>
      </w:pPr>
    </w:p>
    <w:p>
      <w:pPr>
        <w:spacing w:line="500" w:lineRule="exact"/>
        <w:rPr>
          <w:rFonts w:hint="eastAsia" w:ascii="仿宋" w:hAnsi="仿宋" w:eastAsia="仿宋" w:cs="仿宋"/>
          <w:color w:val="000000"/>
          <w:sz w:val="32"/>
          <w:szCs w:val="32"/>
        </w:rPr>
      </w:pPr>
    </w:p>
    <w:p>
      <w:pPr>
        <w:spacing w:line="500" w:lineRule="exact"/>
        <w:rPr>
          <w:rFonts w:hint="eastAsia" w:ascii="仿宋" w:hAnsi="仿宋" w:eastAsia="仿宋" w:cs="仿宋"/>
          <w:color w:val="000000"/>
          <w:sz w:val="32"/>
          <w:szCs w:val="32"/>
        </w:rPr>
      </w:pPr>
    </w:p>
    <w:sectPr>
      <w:footerReference r:id="rId3" w:type="default"/>
      <w:footerReference r:id="rId4" w:type="even"/>
      <w:pgSz w:w="11905" w:h="16837"/>
      <w:pgMar w:top="1418" w:right="1588" w:bottom="1418" w:left="1588" w:header="720" w:footer="1701" w:gutter="0"/>
      <w:pgNumType w:start="1"/>
      <w:cols w:space="720" w:num="1"/>
      <w:docGrid w:type="lines"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separate"/>
    </w:r>
    <w:r>
      <w:rPr>
        <w:rStyle w:val="11"/>
      </w:rPr>
      <w:t>1</w:t>
    </w:r>
    <w: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D0B92"/>
    <w:multiLevelType w:val="singleLevel"/>
    <w:tmpl w:val="5F0D0B92"/>
    <w:lvl w:ilvl="0" w:tentative="0">
      <w:start w:val="2"/>
      <w:numFmt w:val="decimal"/>
      <w:suff w:val="nothing"/>
      <w:lvlText w:val="%1、"/>
      <w:lvlJc w:val="left"/>
    </w:lvl>
  </w:abstractNum>
  <w:abstractNum w:abstractNumId="1">
    <w:nsid w:val="5F0D0EE2"/>
    <w:multiLevelType w:val="singleLevel"/>
    <w:tmpl w:val="5F0D0EE2"/>
    <w:lvl w:ilvl="0" w:tentative="0">
      <w:start w:val="1"/>
      <w:numFmt w:val="decimal"/>
      <w:suff w:val="nothing"/>
      <w:lvlText w:val="（%1）"/>
      <w:lvlJc w:val="left"/>
    </w:lvl>
  </w:abstractNum>
  <w:abstractNum w:abstractNumId="2">
    <w:nsid w:val="5F0D682D"/>
    <w:multiLevelType w:val="singleLevel"/>
    <w:tmpl w:val="5F0D682D"/>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385"/>
    <w:rsid w:val="00053992"/>
    <w:rsid w:val="00086998"/>
    <w:rsid w:val="001A4FFC"/>
    <w:rsid w:val="002721BD"/>
    <w:rsid w:val="003D42E7"/>
    <w:rsid w:val="004435B3"/>
    <w:rsid w:val="00481C31"/>
    <w:rsid w:val="004866AF"/>
    <w:rsid w:val="006E55D0"/>
    <w:rsid w:val="006F1AE3"/>
    <w:rsid w:val="00850F60"/>
    <w:rsid w:val="00852363"/>
    <w:rsid w:val="008D7356"/>
    <w:rsid w:val="008E2385"/>
    <w:rsid w:val="00976D0A"/>
    <w:rsid w:val="00A30686"/>
    <w:rsid w:val="00AF7279"/>
    <w:rsid w:val="00B96318"/>
    <w:rsid w:val="00BC29B4"/>
    <w:rsid w:val="00BC457C"/>
    <w:rsid w:val="00BC6498"/>
    <w:rsid w:val="00C20960"/>
    <w:rsid w:val="00C47D73"/>
    <w:rsid w:val="00CE5B7B"/>
    <w:rsid w:val="00CF722D"/>
    <w:rsid w:val="00D60451"/>
    <w:rsid w:val="00D620F7"/>
    <w:rsid w:val="00E115BB"/>
    <w:rsid w:val="00F31AD1"/>
    <w:rsid w:val="022E2199"/>
    <w:rsid w:val="0277478B"/>
    <w:rsid w:val="2DFC5BF4"/>
    <w:rsid w:val="34335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ocument Map"/>
    <w:basedOn w:val="1"/>
    <w:link w:val="17"/>
    <w:unhideWhenUsed/>
    <w:qFormat/>
    <w:uiPriority w:val="99"/>
    <w:rPr>
      <w:rFonts w:ascii="宋体"/>
      <w:sz w:val="18"/>
      <w:szCs w:val="18"/>
    </w:rPr>
  </w:style>
  <w:style w:type="paragraph" w:styleId="4">
    <w:name w:val="Body Text"/>
    <w:basedOn w:val="1"/>
    <w:unhideWhenUsed/>
    <w:uiPriority w:val="99"/>
    <w:pPr>
      <w:spacing w:before="190"/>
      <w:ind w:left="120"/>
    </w:pPr>
    <w:rPr>
      <w:rFonts w:ascii="宋体" w:hAnsi="宋体" w:eastAsia="宋体" w:cs="宋体"/>
      <w:sz w:val="32"/>
      <w:szCs w:val="32"/>
    </w:rPr>
  </w:style>
  <w:style w:type="paragraph" w:styleId="5">
    <w:name w:val="footer"/>
    <w:basedOn w:val="1"/>
    <w:link w:val="16"/>
    <w:unhideWhenUsed/>
    <w:qFormat/>
    <w:uiPriority w:val="0"/>
    <w:pPr>
      <w:tabs>
        <w:tab w:val="center" w:pos="4153"/>
        <w:tab w:val="right" w:pos="8306"/>
      </w:tabs>
      <w:snapToGrid w:val="0"/>
      <w:jc w:val="left"/>
    </w:pPr>
    <w:rPr>
      <w:sz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bCs/>
    </w:rPr>
  </w:style>
  <w:style w:type="character" w:styleId="11">
    <w:name w:val="page number"/>
    <w:basedOn w:val="9"/>
    <w:unhideWhenUsed/>
    <w:qFormat/>
    <w:uiPriority w:val="99"/>
  </w:style>
  <w:style w:type="character" w:styleId="12">
    <w:name w:val="Emphasis"/>
    <w:basedOn w:val="9"/>
    <w:qFormat/>
    <w:uiPriority w:val="20"/>
    <w:rPr>
      <w:i/>
      <w:iCs/>
    </w:rPr>
  </w:style>
  <w:style w:type="character" w:styleId="13">
    <w:name w:val="Hyperlink"/>
    <w:basedOn w:val="9"/>
    <w:unhideWhenUsed/>
    <w:qFormat/>
    <w:uiPriority w:val="99"/>
    <w:rPr>
      <w:color w:val="0000FF"/>
      <w:u w:val="single"/>
    </w:rPr>
  </w:style>
  <w:style w:type="paragraph" w:customStyle="1" w:styleId="14">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5">
    <w:name w:val="标题 2 Char"/>
    <w:basedOn w:val="9"/>
    <w:link w:val="2"/>
    <w:qFormat/>
    <w:uiPriority w:val="9"/>
    <w:rPr>
      <w:rFonts w:ascii="宋体" w:hAnsi="宋体" w:eastAsia="宋体" w:cs="宋体"/>
      <w:b/>
      <w:bCs/>
      <w:kern w:val="0"/>
      <w:sz w:val="36"/>
      <w:szCs w:val="36"/>
    </w:rPr>
  </w:style>
  <w:style w:type="character" w:customStyle="1" w:styleId="16">
    <w:name w:val="页脚 Char"/>
    <w:basedOn w:val="9"/>
    <w:link w:val="5"/>
    <w:qFormat/>
    <w:uiPriority w:val="0"/>
    <w:rPr>
      <w:rFonts w:ascii="Times New Roman" w:hAnsi="Times New Roman" w:eastAsia="宋体" w:cs="Times New Roman"/>
      <w:sz w:val="18"/>
      <w:szCs w:val="24"/>
    </w:rPr>
  </w:style>
  <w:style w:type="character" w:customStyle="1" w:styleId="17">
    <w:name w:val="文档结构图 Char"/>
    <w:basedOn w:val="9"/>
    <w:link w:val="3"/>
    <w:semiHidden/>
    <w:qFormat/>
    <w:uiPriority w:val="99"/>
    <w:rPr>
      <w:rFonts w:ascii="宋体" w:hAnsi="Times New Roman" w:eastAsia="宋体" w:cs="Times New Roman"/>
      <w:sz w:val="18"/>
      <w:szCs w:val="18"/>
    </w:rPr>
  </w:style>
  <w:style w:type="character" w:customStyle="1" w:styleId="18">
    <w:name w:val="页眉 Char"/>
    <w:basedOn w:val="9"/>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86E435-F410-4645-8717-93C284F2E3A4}">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928</Words>
  <Characters>5295</Characters>
  <Lines>44</Lines>
  <Paragraphs>12</Paragraphs>
  <TotalTime>7</TotalTime>
  <ScaleCrop>false</ScaleCrop>
  <LinksUpToDate>false</LinksUpToDate>
  <CharactersWithSpaces>6211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2019-03-12T00:45:00Z</dcterms:created>
  <dc:creator>Administrator</dc:creator>
  <cp:lastModifiedBy>Rebirth</cp:lastModifiedBy>
  <cp:lastPrinted>2020-07-14T08:08:00Z</cp:lastPrinted>
  <dcterms:modified xsi:type="dcterms:W3CDTF">2020-07-28T03:52:23Z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